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
        <w:t xml:space="preserve">Covid 19 Catch-up Premium </w:t>
      </w:r>
    </w:p>
    <w:p/>
    <w:p>
      <w:r>
        <w:t xml:space="preserve">The government COVID-19 catch-up premium has been established to mitigate the effects of the unique disruption caused by coronavirus. The grant will only be available for the 2020-2021 academic year. </w:t>
      </w:r>
    </w:p>
    <w:p>
      <w:r>
        <w:t xml:space="preserve">Schools should use this funding for specific activities to support pupils to catch up for lost teaching time over the previous months. To support schools to make the best use of the funding, the EEF has published a support guide: </w:t>
      </w:r>
    </w:p>
    <w:p>
      <w:hyperlink r:id="rId5" w:anchor="nav-covid-19-supportguide-for-schools1" w:history="1">
        <w:r>
          <w:rPr>
            <w:rStyle w:val="Hyperlink"/>
          </w:rPr>
          <w:t>https://educationendowmentfoundation.org.uk/covid-19-resources/covid-19-support-guide-for-schools/#nav-covid-19-supportguide-for-schools1</w:t>
        </w:r>
      </w:hyperlink>
      <w:r>
        <w:t xml:space="preserve"> </w:t>
      </w:r>
    </w:p>
    <w:p/>
    <w:p>
      <w:r>
        <w:t>Schools should set out how they will allocate the additional funding to support curriculum recovery this academic year. The EEF guidance suggests a 3-tiered* approach:</w:t>
      </w:r>
    </w:p>
    <w:p>
      <w:pPr>
        <w:shd w:val="clear" w:color="auto" w:fill="FFFFFF"/>
        <w:spacing w:after="0" w:line="240" w:lineRule="auto"/>
        <w:textAlignment w:val="baseline"/>
        <w:rPr>
          <w:rFonts w:eastAsia="Times New Roman" w:cstheme="minorHAnsi"/>
          <w:color w:val="444444"/>
          <w:lang w:eastAsia="en-GB"/>
        </w:rPr>
      </w:pPr>
      <w:r>
        <w:rPr>
          <w:rFonts w:eastAsia="Times New Roman" w:cstheme="minorHAnsi"/>
          <w:b/>
          <w:bCs/>
          <w:color w:val="444444"/>
          <w:bdr w:val="none" w:sz="0" w:space="0" w:color="auto" w:frame="1"/>
          <w:lang w:eastAsia="en-GB"/>
        </w:rPr>
        <w:t>1 Teaching</w:t>
      </w:r>
    </w:p>
    <w:p>
      <w:pPr>
        <w:numPr>
          <w:ilvl w:val="0"/>
          <w:numId w:val="1"/>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High-quality teaching for all</w:t>
      </w:r>
    </w:p>
    <w:p>
      <w:pPr>
        <w:numPr>
          <w:ilvl w:val="0"/>
          <w:numId w:val="1"/>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Effective diagnostic assessment</w:t>
      </w:r>
    </w:p>
    <w:p>
      <w:pPr>
        <w:numPr>
          <w:ilvl w:val="0"/>
          <w:numId w:val="1"/>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Supporting remote learning</w:t>
      </w:r>
    </w:p>
    <w:p>
      <w:pPr>
        <w:numPr>
          <w:ilvl w:val="0"/>
          <w:numId w:val="1"/>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Focusing on professional development</w:t>
      </w:r>
    </w:p>
    <w:p>
      <w:pPr>
        <w:shd w:val="clear" w:color="auto" w:fill="FFFFFF"/>
        <w:spacing w:after="0" w:line="240" w:lineRule="auto"/>
        <w:textAlignment w:val="baseline"/>
        <w:rPr>
          <w:rFonts w:eastAsia="Times New Roman" w:cstheme="minorHAnsi"/>
          <w:color w:val="444444"/>
          <w:lang w:eastAsia="en-GB"/>
        </w:rPr>
      </w:pPr>
      <w:r>
        <w:rPr>
          <w:rFonts w:eastAsia="Times New Roman" w:cstheme="minorHAnsi"/>
          <w:b/>
          <w:bCs/>
          <w:color w:val="444444"/>
          <w:bdr w:val="none" w:sz="0" w:space="0" w:color="auto" w:frame="1"/>
          <w:lang w:eastAsia="en-GB"/>
        </w:rPr>
        <w:t>2 Targeted academic support</w:t>
      </w:r>
    </w:p>
    <w:p>
      <w:pPr>
        <w:numPr>
          <w:ilvl w:val="0"/>
          <w:numId w:val="2"/>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High-quality one to one and small group tuition</w:t>
      </w:r>
    </w:p>
    <w:p>
      <w:pPr>
        <w:numPr>
          <w:ilvl w:val="0"/>
          <w:numId w:val="2"/>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Teaching Assistants and targeted support</w:t>
      </w:r>
    </w:p>
    <w:p>
      <w:pPr>
        <w:numPr>
          <w:ilvl w:val="0"/>
          <w:numId w:val="2"/>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Academic tutoring</w:t>
      </w:r>
    </w:p>
    <w:p>
      <w:pPr>
        <w:numPr>
          <w:ilvl w:val="0"/>
          <w:numId w:val="2"/>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Planning for pupils with Special Educational Needs and Disabilities (SEND)</w:t>
      </w:r>
    </w:p>
    <w:p>
      <w:pPr>
        <w:shd w:val="clear" w:color="auto" w:fill="FFFFFF"/>
        <w:spacing w:after="0" w:line="240" w:lineRule="auto"/>
        <w:textAlignment w:val="baseline"/>
        <w:rPr>
          <w:rFonts w:eastAsia="Times New Roman" w:cstheme="minorHAnsi"/>
          <w:color w:val="444444"/>
          <w:lang w:eastAsia="en-GB"/>
        </w:rPr>
      </w:pPr>
      <w:r>
        <w:rPr>
          <w:rFonts w:eastAsia="Times New Roman" w:cstheme="minorHAnsi"/>
          <w:b/>
          <w:bCs/>
          <w:color w:val="444444"/>
          <w:bdr w:val="none" w:sz="0" w:space="0" w:color="auto" w:frame="1"/>
          <w:lang w:eastAsia="en-GB"/>
        </w:rPr>
        <w:t>3 Wider strategies</w:t>
      </w:r>
    </w:p>
    <w:p>
      <w:pPr>
        <w:numPr>
          <w:ilvl w:val="0"/>
          <w:numId w:val="3"/>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 xml:space="preserve">Supporting pupils’ social, </w:t>
      </w:r>
      <w:proofErr w:type="gramStart"/>
      <w:r>
        <w:rPr>
          <w:rFonts w:eastAsia="Times New Roman" w:cstheme="minorHAnsi"/>
          <w:color w:val="444444"/>
          <w:lang w:eastAsia="en-GB"/>
        </w:rPr>
        <w:t>emotional</w:t>
      </w:r>
      <w:proofErr w:type="gramEnd"/>
      <w:r>
        <w:rPr>
          <w:rFonts w:eastAsia="Times New Roman" w:cstheme="minorHAnsi"/>
          <w:color w:val="444444"/>
          <w:lang w:eastAsia="en-GB"/>
        </w:rPr>
        <w:t xml:space="preserve"> and behavioural needs</w:t>
      </w:r>
    </w:p>
    <w:p>
      <w:pPr>
        <w:numPr>
          <w:ilvl w:val="0"/>
          <w:numId w:val="3"/>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Planning carefully for adopting a Social and Emotional Learning curriculum</w:t>
      </w:r>
    </w:p>
    <w:p>
      <w:pPr>
        <w:numPr>
          <w:ilvl w:val="0"/>
          <w:numId w:val="3"/>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Communicating with and supporting parents</w:t>
      </w:r>
    </w:p>
    <w:p>
      <w:pPr>
        <w:numPr>
          <w:ilvl w:val="0"/>
          <w:numId w:val="3"/>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Supporting parents with pupils of different ages</w:t>
      </w:r>
    </w:p>
    <w:p>
      <w:pPr>
        <w:numPr>
          <w:ilvl w:val="0"/>
          <w:numId w:val="3"/>
        </w:numPr>
        <w:shd w:val="clear" w:color="auto" w:fill="FFFFFF"/>
        <w:spacing w:after="0" w:line="240" w:lineRule="auto"/>
        <w:ind w:left="990"/>
        <w:textAlignment w:val="baseline"/>
        <w:rPr>
          <w:rFonts w:eastAsia="Times New Roman" w:cstheme="minorHAnsi"/>
          <w:color w:val="444444"/>
          <w:lang w:eastAsia="en-GB"/>
        </w:rPr>
      </w:pPr>
      <w:r>
        <w:rPr>
          <w:rFonts w:eastAsia="Times New Roman" w:cstheme="minorHAnsi"/>
          <w:color w:val="444444"/>
          <w:lang w:eastAsia="en-GB"/>
        </w:rPr>
        <w:t>Successful implementation in challenging times</w:t>
      </w:r>
    </w:p>
    <w:p>
      <w:pPr>
        <w:pStyle w:val="Default"/>
        <w:ind w:left="720"/>
      </w:pPr>
    </w:p>
    <w:p>
      <w:r>
        <w:t xml:space="preserve">As with all government funding, school leaders and governors must be able to account for how the money is being used. Therefore, the impact and spending strategy for this catch-up premium will be reviewed at every Governing body meeting throughout the 2020-2021 academic year. </w:t>
      </w:r>
    </w:p>
    <w:p>
      <w:r>
        <w:t>When Ofsted re-commence routine inspections, they will make judgements about the quality of education being provided which will include how you are using the funding to ensure the curriculum has a positive impact on all pupils.</w:t>
      </w:r>
    </w:p>
    <w:p/>
    <w:p/>
    <w:p/>
    <w:p/>
    <w:p/>
    <w:p>
      <w:pPr>
        <w:sectPr>
          <w:pgSz w:w="11906" w:h="16838"/>
          <w:pgMar w:top="1440" w:right="1440" w:bottom="1440" w:left="1440" w:header="708" w:footer="708" w:gutter="0"/>
          <w:cols w:space="708"/>
          <w:docGrid w:linePitch="360"/>
        </w:sectPr>
      </w:pPr>
    </w:p>
    <w:p>
      <w:pPr>
        <w:pStyle w:val="Heading1"/>
        <w:rPr>
          <w:rFonts w:eastAsiaTheme="minorEastAsia"/>
          <w:b/>
          <w:bCs/>
          <w:color w:val="007B85"/>
          <w:w w:val="105"/>
        </w:rPr>
      </w:pPr>
      <w:r>
        <w:rPr>
          <w:rFonts w:eastAsiaTheme="minorEastAsia"/>
          <w:b/>
          <w:bCs/>
          <w:color w:val="007B85"/>
          <w:w w:val="105"/>
        </w:rPr>
        <w:lastRenderedPageBreak/>
        <w:t>Catch-up Premium Plan KS3 &amp; KS4</w:t>
      </w:r>
    </w:p>
    <w:p/>
    <w:tbl>
      <w:tblPr>
        <w:tblW w:w="6831"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2157"/>
      </w:tblGrid>
      <w:tr>
        <w:trPr>
          <w:trHeight w:val="537"/>
        </w:trPr>
        <w:tc>
          <w:tcPr>
            <w:tcW w:w="4674" w:type="dxa"/>
            <w:shd w:val="clear" w:color="auto" w:fill="79133E"/>
          </w:tcPr>
          <w:p>
            <w:pPr>
              <w:pStyle w:val="Heading2"/>
              <w:rPr>
                <w:b/>
                <w:bCs/>
                <w:color w:val="FFFFFF" w:themeColor="background1"/>
              </w:rPr>
            </w:pPr>
            <w:r>
              <w:rPr>
                <w:rFonts w:eastAsiaTheme="minorEastAsia"/>
                <w:b/>
                <w:bCs/>
                <w:color w:val="FFFFFF" w:themeColor="background1"/>
                <w:w w:val="105"/>
              </w:rPr>
              <w:t>Academy</w:t>
            </w:r>
          </w:p>
        </w:tc>
        <w:tc>
          <w:tcPr>
            <w:tcW w:w="2157" w:type="dxa"/>
          </w:tcPr>
          <w:p>
            <w:pPr>
              <w:pStyle w:val="TableParagraph"/>
              <w:spacing w:before="11"/>
              <w:ind w:left="0"/>
              <w:rPr>
                <w:b/>
                <w:color w:val="79133E"/>
                <w:sz w:val="21"/>
              </w:rPr>
            </w:pPr>
          </w:p>
          <w:p>
            <w:pPr>
              <w:pStyle w:val="TableParagraph"/>
              <w:spacing w:line="268" w:lineRule="exact"/>
              <w:ind w:left="105"/>
              <w:rPr>
                <w:color w:val="79133E"/>
              </w:rPr>
            </w:pPr>
            <w:r>
              <w:rPr>
                <w:color w:val="79133E"/>
              </w:rPr>
              <w:t>The Jubilee Academy</w:t>
            </w:r>
          </w:p>
        </w:tc>
      </w:tr>
      <w:tr>
        <w:trPr>
          <w:trHeight w:val="537"/>
        </w:trPr>
        <w:tc>
          <w:tcPr>
            <w:tcW w:w="4674" w:type="dxa"/>
            <w:shd w:val="clear" w:color="auto" w:fill="79133E"/>
          </w:tcPr>
          <w:p>
            <w:pPr>
              <w:pStyle w:val="Heading2"/>
              <w:rPr>
                <w:rFonts w:eastAsiaTheme="minorEastAsia"/>
                <w:b/>
                <w:bCs/>
                <w:color w:val="FFFFFF" w:themeColor="background1"/>
                <w:w w:val="105"/>
              </w:rPr>
            </w:pPr>
            <w:r>
              <w:rPr>
                <w:rFonts w:eastAsiaTheme="minorEastAsia"/>
                <w:b/>
                <w:bCs/>
                <w:color w:val="FFFFFF" w:themeColor="background1"/>
                <w:w w:val="105"/>
              </w:rPr>
              <w:t>Allocated funding (Catch-Up)</w:t>
            </w:r>
          </w:p>
        </w:tc>
        <w:tc>
          <w:tcPr>
            <w:tcW w:w="2157" w:type="dxa"/>
          </w:tcPr>
          <w:p>
            <w:pPr>
              <w:pStyle w:val="TableParagraph"/>
              <w:spacing w:line="268" w:lineRule="exact"/>
              <w:ind w:left="105"/>
              <w:rPr>
                <w:color w:val="79133E"/>
              </w:rPr>
            </w:pPr>
            <w:r>
              <w:rPr>
                <w:color w:val="79133E"/>
              </w:rPr>
              <w:t>£22,080</w:t>
            </w:r>
          </w:p>
        </w:tc>
      </w:tr>
    </w:tbl>
    <w:p/>
    <w:tbl>
      <w:tblPr>
        <w:tblW w:w="1452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522"/>
      </w:tblGrid>
      <w:tr>
        <w:trPr>
          <w:trHeight w:val="322"/>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Heading2"/>
              <w:rPr>
                <w:rFonts w:eastAsiaTheme="minorEastAsia"/>
                <w:b/>
                <w:bCs/>
                <w:color w:val="007B85"/>
                <w:w w:val="105"/>
              </w:rPr>
            </w:pPr>
            <w:r>
              <w:rPr>
                <w:rFonts w:eastAsiaTheme="minorEastAsia"/>
                <w:b/>
                <w:bCs/>
                <w:color w:val="007B85"/>
                <w:w w:val="105"/>
              </w:rPr>
              <w:t>Issues identified from September 2020 as barriers to learning (e.g. curriculum gaps / literacy / attendance /wellbeing)</w:t>
            </w:r>
          </w:p>
        </w:tc>
      </w:tr>
      <w:tr>
        <w:trPr>
          <w:trHeight w:val="357"/>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line="292" w:lineRule="exact"/>
              <w:rPr>
                <w:color w:val="000000" w:themeColor="text1"/>
                <w:sz w:val="24"/>
              </w:rPr>
            </w:pPr>
            <w:r>
              <w:rPr>
                <w:b/>
                <w:color w:val="000000" w:themeColor="text1"/>
                <w:sz w:val="24"/>
              </w:rPr>
              <w:t xml:space="preserve">B1: </w:t>
            </w:r>
            <w:r>
              <w:rPr>
                <w:color w:val="000000" w:themeColor="text1"/>
                <w:sz w:val="24"/>
              </w:rPr>
              <w:t>Literacy skills (high percentage of reading ages are below national average in all year groups)</w:t>
            </w:r>
          </w:p>
        </w:tc>
      </w:tr>
      <w:tr>
        <w:trPr>
          <w:trHeight w:val="277"/>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rPr>
                <w:color w:val="000000" w:themeColor="text1"/>
                <w:sz w:val="24"/>
              </w:rPr>
            </w:pPr>
            <w:r>
              <w:rPr>
                <w:b/>
                <w:color w:val="000000" w:themeColor="text1"/>
                <w:sz w:val="24"/>
              </w:rPr>
              <w:t xml:space="preserve">B2: </w:t>
            </w:r>
            <w:r>
              <w:rPr>
                <w:color w:val="000000" w:themeColor="text1"/>
                <w:sz w:val="24"/>
              </w:rPr>
              <w:t xml:space="preserve">Gaps in curriculum as identified by each subject lead and conduct a needs analysis </w:t>
            </w:r>
          </w:p>
        </w:tc>
      </w:tr>
      <w:tr>
        <w:trPr>
          <w:trHeight w:val="253"/>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before="1"/>
              <w:rPr>
                <w:color w:val="000000" w:themeColor="text1"/>
                <w:sz w:val="24"/>
              </w:rPr>
            </w:pPr>
            <w:r>
              <w:rPr>
                <w:b/>
                <w:color w:val="000000" w:themeColor="text1"/>
                <w:sz w:val="24"/>
              </w:rPr>
              <w:t xml:space="preserve">B3: </w:t>
            </w:r>
            <w:r>
              <w:rPr>
                <w:color w:val="000000" w:themeColor="text1"/>
                <w:sz w:val="24"/>
              </w:rPr>
              <w:t>Readying the school for further home learning needs (E.g. a second lockdown)</w:t>
            </w:r>
          </w:p>
        </w:tc>
      </w:tr>
      <w:tr>
        <w:trPr>
          <w:trHeight w:val="275"/>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line="292" w:lineRule="exact"/>
              <w:rPr>
                <w:color w:val="000000" w:themeColor="text1"/>
                <w:sz w:val="24"/>
              </w:rPr>
            </w:pPr>
            <w:r>
              <w:rPr>
                <w:b/>
                <w:color w:val="000000" w:themeColor="text1"/>
                <w:sz w:val="24"/>
              </w:rPr>
              <w:t xml:space="preserve">B4: </w:t>
            </w:r>
            <w:r>
              <w:rPr>
                <w:color w:val="000000" w:themeColor="text1"/>
                <w:sz w:val="24"/>
              </w:rPr>
              <w:t>Ensuring all students can access online learning at home</w:t>
            </w:r>
          </w:p>
        </w:tc>
      </w:tr>
      <w:tr>
        <w:trPr>
          <w:trHeight w:val="253"/>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line="292" w:lineRule="exact"/>
              <w:rPr>
                <w:color w:val="000000" w:themeColor="text1"/>
                <w:sz w:val="24"/>
              </w:rPr>
            </w:pPr>
            <w:r>
              <w:rPr>
                <w:b/>
                <w:color w:val="000000" w:themeColor="text1"/>
                <w:sz w:val="24"/>
              </w:rPr>
              <w:t xml:space="preserve">B5: </w:t>
            </w:r>
            <w:r>
              <w:rPr>
                <w:color w:val="000000" w:themeColor="text1"/>
                <w:sz w:val="24"/>
              </w:rPr>
              <w:t xml:space="preserve">Gaps in knowledge that have appeared between March and July 2020 (as identified through assessment in Autumn </w:t>
            </w:r>
            <w:proofErr w:type="gramStart"/>
            <w:r>
              <w:rPr>
                <w:color w:val="000000" w:themeColor="text1"/>
                <w:sz w:val="24"/>
              </w:rPr>
              <w:t>1 )</w:t>
            </w:r>
            <w:proofErr w:type="gramEnd"/>
          </w:p>
        </w:tc>
      </w:tr>
      <w:tr>
        <w:trPr>
          <w:trHeight w:val="273"/>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before="1"/>
              <w:rPr>
                <w:color w:val="000000" w:themeColor="text1"/>
                <w:sz w:val="24"/>
              </w:rPr>
            </w:pPr>
            <w:r>
              <w:rPr>
                <w:b/>
                <w:color w:val="000000" w:themeColor="text1"/>
                <w:sz w:val="24"/>
              </w:rPr>
              <w:t xml:space="preserve">B6: </w:t>
            </w:r>
            <w:r>
              <w:rPr>
                <w:color w:val="000000" w:themeColor="text1"/>
                <w:sz w:val="24"/>
              </w:rPr>
              <w:t xml:space="preserve">Ensuring our SEND students are making social, </w:t>
            </w:r>
            <w:proofErr w:type="gramStart"/>
            <w:r>
              <w:rPr>
                <w:color w:val="000000" w:themeColor="text1"/>
                <w:sz w:val="24"/>
              </w:rPr>
              <w:t>emotional</w:t>
            </w:r>
            <w:proofErr w:type="gramEnd"/>
            <w:r>
              <w:rPr>
                <w:color w:val="000000" w:themeColor="text1"/>
                <w:sz w:val="24"/>
              </w:rPr>
              <w:t xml:space="preserve"> and academic progress following the lockdown period</w:t>
            </w:r>
          </w:p>
        </w:tc>
      </w:tr>
      <w:tr>
        <w:trPr>
          <w:trHeight w:val="264"/>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line="293" w:lineRule="exact"/>
              <w:rPr>
                <w:color w:val="000000" w:themeColor="text1"/>
                <w:sz w:val="24"/>
              </w:rPr>
            </w:pPr>
            <w:r>
              <w:rPr>
                <w:b/>
                <w:color w:val="000000" w:themeColor="text1"/>
                <w:sz w:val="24"/>
              </w:rPr>
              <w:t>B6A:</w:t>
            </w:r>
            <w:r>
              <w:rPr>
                <w:color w:val="000000" w:themeColor="text1"/>
                <w:sz w:val="24"/>
              </w:rPr>
              <w:t xml:space="preserve"> Ensuring students on the safeguarding register are making social, </w:t>
            </w:r>
            <w:proofErr w:type="gramStart"/>
            <w:r>
              <w:rPr>
                <w:color w:val="000000" w:themeColor="text1"/>
                <w:sz w:val="24"/>
              </w:rPr>
              <w:t>emotional</w:t>
            </w:r>
            <w:proofErr w:type="gramEnd"/>
            <w:r>
              <w:rPr>
                <w:color w:val="000000" w:themeColor="text1"/>
                <w:sz w:val="24"/>
              </w:rPr>
              <w:t xml:space="preserve"> and academic progress following the lockdown period</w:t>
            </w:r>
          </w:p>
        </w:tc>
      </w:tr>
      <w:tr>
        <w:trPr>
          <w:trHeight w:val="271"/>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line="293" w:lineRule="exact"/>
              <w:rPr>
                <w:color w:val="000000" w:themeColor="text1"/>
                <w:sz w:val="24"/>
              </w:rPr>
            </w:pPr>
            <w:r>
              <w:rPr>
                <w:b/>
                <w:color w:val="000000" w:themeColor="text1"/>
                <w:sz w:val="24"/>
              </w:rPr>
              <w:t xml:space="preserve">B7: </w:t>
            </w:r>
            <w:r>
              <w:rPr>
                <w:color w:val="000000" w:themeColor="text1"/>
                <w:sz w:val="24"/>
              </w:rPr>
              <w:t>Understanding T&amp;L strategies within the ‘new normal’ way of teaching</w:t>
            </w:r>
          </w:p>
        </w:tc>
      </w:tr>
      <w:tr>
        <w:trPr>
          <w:trHeight w:val="263"/>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line="292" w:lineRule="exact"/>
              <w:rPr>
                <w:b/>
                <w:color w:val="000000" w:themeColor="text1"/>
                <w:sz w:val="24"/>
              </w:rPr>
            </w:pPr>
            <w:r>
              <w:rPr>
                <w:b/>
                <w:color w:val="000000" w:themeColor="text1"/>
                <w:sz w:val="24"/>
              </w:rPr>
              <w:t xml:space="preserve">B8: </w:t>
            </w:r>
            <w:r>
              <w:rPr>
                <w:color w:val="000000" w:themeColor="text1"/>
                <w:sz w:val="24"/>
              </w:rPr>
              <w:t>Gaps in ‘careers and further education’ advice and guidance</w:t>
            </w:r>
          </w:p>
        </w:tc>
      </w:tr>
      <w:tr>
        <w:trPr>
          <w:trHeight w:val="274"/>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line="292" w:lineRule="exact"/>
              <w:rPr>
                <w:b/>
                <w:color w:val="000000" w:themeColor="text1"/>
                <w:sz w:val="24"/>
              </w:rPr>
            </w:pPr>
            <w:r>
              <w:rPr>
                <w:b/>
                <w:color w:val="000000" w:themeColor="text1"/>
                <w:sz w:val="24"/>
              </w:rPr>
              <w:t xml:space="preserve">B9: </w:t>
            </w:r>
            <w:r>
              <w:rPr>
                <w:color w:val="000000" w:themeColor="text1"/>
                <w:sz w:val="24"/>
              </w:rPr>
              <w:t>Working levels and profiles for new admissions</w:t>
            </w:r>
          </w:p>
        </w:tc>
      </w:tr>
      <w:tr>
        <w:trPr>
          <w:trHeight w:val="274"/>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line="292" w:lineRule="exact"/>
              <w:rPr>
                <w:color w:val="000000" w:themeColor="text1"/>
                <w:sz w:val="24"/>
              </w:rPr>
            </w:pPr>
            <w:r>
              <w:rPr>
                <w:b/>
                <w:color w:val="000000" w:themeColor="text1"/>
                <w:sz w:val="24"/>
              </w:rPr>
              <w:t xml:space="preserve">B10: </w:t>
            </w:r>
            <w:r>
              <w:rPr>
                <w:color w:val="000000" w:themeColor="text1"/>
                <w:sz w:val="24"/>
              </w:rPr>
              <w:t>Maintaining a high attendance % for all students is a priority</w:t>
            </w:r>
          </w:p>
        </w:tc>
      </w:tr>
      <w:tr>
        <w:trPr>
          <w:trHeight w:val="274"/>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line="292" w:lineRule="exact"/>
              <w:rPr>
                <w:color w:val="000000" w:themeColor="text1"/>
                <w:sz w:val="24"/>
              </w:rPr>
            </w:pPr>
            <w:r>
              <w:rPr>
                <w:b/>
                <w:color w:val="000000" w:themeColor="text1"/>
                <w:sz w:val="24"/>
              </w:rPr>
              <w:t xml:space="preserve">B11: </w:t>
            </w:r>
            <w:r>
              <w:rPr>
                <w:color w:val="000000" w:themeColor="text1"/>
                <w:sz w:val="24"/>
              </w:rPr>
              <w:t>Wellbeing: Students adjusting to the new school routines and structures</w:t>
            </w:r>
          </w:p>
        </w:tc>
      </w:tr>
      <w:tr>
        <w:trPr>
          <w:trHeight w:val="392"/>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before="1"/>
              <w:rPr>
                <w:color w:val="000000" w:themeColor="text1"/>
                <w:sz w:val="24"/>
              </w:rPr>
            </w:pPr>
            <w:r>
              <w:rPr>
                <w:b/>
                <w:color w:val="000000" w:themeColor="text1"/>
                <w:sz w:val="24"/>
              </w:rPr>
              <w:t xml:space="preserve">B12: </w:t>
            </w:r>
            <w:r>
              <w:rPr>
                <w:color w:val="000000" w:themeColor="text1"/>
                <w:sz w:val="24"/>
              </w:rPr>
              <w:t>Wellbeing: Concerns around anxiety and safeguarding issues following the lockdown period</w:t>
            </w:r>
          </w:p>
        </w:tc>
      </w:tr>
      <w:tr>
        <w:trPr>
          <w:trHeight w:val="358"/>
        </w:trPr>
        <w:tc>
          <w:tcPr>
            <w:tcW w:w="14522"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line="292" w:lineRule="exact"/>
              <w:rPr>
                <w:color w:val="000000" w:themeColor="text1"/>
                <w:sz w:val="24"/>
              </w:rPr>
            </w:pPr>
            <w:r>
              <w:rPr>
                <w:b/>
                <w:color w:val="000000" w:themeColor="text1"/>
                <w:sz w:val="24"/>
              </w:rPr>
              <w:t xml:space="preserve">B13: </w:t>
            </w:r>
            <w:r>
              <w:rPr>
                <w:color w:val="000000" w:themeColor="text1"/>
                <w:sz w:val="24"/>
              </w:rPr>
              <w:t>Ensuring parental engagement levels are maintained during the ‘virtual meeting’ era</w:t>
            </w:r>
          </w:p>
        </w:tc>
      </w:tr>
    </w:tbl>
    <w:p/>
    <w:tbl>
      <w:tblPr>
        <w:tblW w:w="14532"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3570"/>
        <w:gridCol w:w="59"/>
        <w:gridCol w:w="3630"/>
        <w:gridCol w:w="3629"/>
        <w:gridCol w:w="54"/>
        <w:gridCol w:w="3570"/>
        <w:gridCol w:w="10"/>
      </w:tblGrid>
      <w:tr>
        <w:trPr>
          <w:gridBefore w:val="1"/>
          <w:wBefore w:w="10" w:type="dxa"/>
          <w:trHeight w:val="928"/>
        </w:trPr>
        <w:tc>
          <w:tcPr>
            <w:tcW w:w="14522" w:type="dxa"/>
            <w:gridSpan w:val="7"/>
            <w:tcBorders>
              <w:top w:val="single" w:sz="4" w:space="0" w:color="000000"/>
              <w:left w:val="single" w:sz="4" w:space="0" w:color="000000"/>
              <w:bottom w:val="single" w:sz="4" w:space="0" w:color="000000"/>
              <w:right w:val="single" w:sz="4" w:space="0" w:color="000000"/>
            </w:tcBorders>
            <w:shd w:val="clear" w:color="auto" w:fill="D9E1F3"/>
          </w:tcPr>
          <w:p>
            <w:pPr>
              <w:pStyle w:val="Heading1"/>
              <w:rPr>
                <w:rFonts w:eastAsiaTheme="minorEastAsia"/>
                <w:b/>
                <w:bCs/>
                <w:color w:val="007B85"/>
                <w:w w:val="105"/>
              </w:rPr>
            </w:pPr>
            <w:r>
              <w:rPr>
                <w:rFonts w:eastAsiaTheme="minorEastAsia"/>
                <w:b/>
                <w:bCs/>
                <w:color w:val="007B85"/>
                <w:w w:val="105"/>
              </w:rPr>
              <w:lastRenderedPageBreak/>
              <w:t>Teaching and Whole School Strategies</w:t>
            </w:r>
          </w:p>
        </w:tc>
      </w:tr>
      <w:tr>
        <w:trPr>
          <w:gridBefore w:val="1"/>
          <w:wBefore w:w="10" w:type="dxa"/>
          <w:trHeight w:val="292"/>
        </w:trPr>
        <w:tc>
          <w:tcPr>
            <w:tcW w:w="3629" w:type="dxa"/>
            <w:gridSpan w:val="2"/>
            <w:shd w:val="clear" w:color="auto" w:fill="auto"/>
          </w:tcPr>
          <w:p>
            <w:pPr>
              <w:pStyle w:val="TableParagraph"/>
              <w:spacing w:line="272" w:lineRule="exact"/>
              <w:rPr>
                <w:b/>
                <w:color w:val="79133E"/>
                <w:sz w:val="24"/>
              </w:rPr>
            </w:pPr>
            <w:r>
              <w:rPr>
                <w:b/>
                <w:color w:val="79133E"/>
                <w:sz w:val="24"/>
              </w:rPr>
              <w:t>Year Group</w:t>
            </w:r>
          </w:p>
        </w:tc>
        <w:tc>
          <w:tcPr>
            <w:tcW w:w="3630" w:type="dxa"/>
            <w:shd w:val="clear" w:color="auto" w:fill="auto"/>
          </w:tcPr>
          <w:p>
            <w:pPr>
              <w:pStyle w:val="TableParagraph"/>
              <w:spacing w:line="272" w:lineRule="exact"/>
              <w:ind w:left="107"/>
              <w:rPr>
                <w:b/>
                <w:color w:val="79133E"/>
                <w:sz w:val="24"/>
              </w:rPr>
            </w:pPr>
            <w:r>
              <w:rPr>
                <w:b/>
                <w:color w:val="79133E"/>
                <w:sz w:val="24"/>
              </w:rPr>
              <w:t>Actions</w:t>
            </w:r>
          </w:p>
        </w:tc>
        <w:tc>
          <w:tcPr>
            <w:tcW w:w="3629" w:type="dxa"/>
            <w:shd w:val="clear" w:color="auto" w:fill="auto"/>
          </w:tcPr>
          <w:p>
            <w:pPr>
              <w:pStyle w:val="TableParagraph"/>
              <w:spacing w:line="272" w:lineRule="exact"/>
              <w:rPr>
                <w:b/>
                <w:color w:val="79133E"/>
                <w:sz w:val="24"/>
              </w:rPr>
            </w:pPr>
            <w:r>
              <w:rPr>
                <w:b/>
                <w:color w:val="79133E"/>
                <w:sz w:val="24"/>
              </w:rPr>
              <w:t>Intended impact</w:t>
            </w:r>
          </w:p>
        </w:tc>
        <w:tc>
          <w:tcPr>
            <w:tcW w:w="3634" w:type="dxa"/>
            <w:gridSpan w:val="3"/>
            <w:shd w:val="clear" w:color="auto" w:fill="auto"/>
          </w:tcPr>
          <w:p>
            <w:pPr>
              <w:pStyle w:val="TableParagraph"/>
              <w:spacing w:line="272" w:lineRule="exact"/>
              <w:ind w:left="124" w:right="116"/>
              <w:jc w:val="center"/>
              <w:rPr>
                <w:b/>
                <w:color w:val="79133E"/>
                <w:sz w:val="24"/>
              </w:rPr>
            </w:pPr>
            <w:r>
              <w:rPr>
                <w:b/>
                <w:color w:val="79133E"/>
                <w:sz w:val="24"/>
              </w:rPr>
              <w:t>Cost</w:t>
            </w:r>
          </w:p>
        </w:tc>
      </w:tr>
      <w:tr>
        <w:trPr>
          <w:gridBefore w:val="1"/>
          <w:wBefore w:w="10" w:type="dxa"/>
          <w:trHeight w:val="1074"/>
        </w:trPr>
        <w:tc>
          <w:tcPr>
            <w:tcW w:w="3629" w:type="dxa"/>
            <w:gridSpan w:val="2"/>
            <w:shd w:val="clear" w:color="auto" w:fill="auto"/>
          </w:tcPr>
          <w:p>
            <w:pPr>
              <w:pStyle w:val="TableParagraph"/>
              <w:spacing w:line="268" w:lineRule="exact"/>
              <w:rPr>
                <w:sz w:val="20"/>
                <w:szCs w:val="20"/>
              </w:rPr>
            </w:pPr>
            <w:r>
              <w:rPr>
                <w:sz w:val="20"/>
                <w:szCs w:val="20"/>
              </w:rPr>
              <w:t xml:space="preserve">9, 10, 11 </w:t>
            </w:r>
          </w:p>
          <w:p>
            <w:pPr>
              <w:pStyle w:val="TableParagraph"/>
              <w:spacing w:line="268" w:lineRule="exact"/>
              <w:rPr>
                <w:sz w:val="20"/>
                <w:szCs w:val="20"/>
              </w:rPr>
            </w:pPr>
            <w:r>
              <w:rPr>
                <w:sz w:val="20"/>
                <w:szCs w:val="20"/>
              </w:rPr>
              <w:t>Returning students</w:t>
            </w:r>
          </w:p>
        </w:tc>
        <w:tc>
          <w:tcPr>
            <w:tcW w:w="3630" w:type="dxa"/>
            <w:shd w:val="clear" w:color="auto" w:fill="auto"/>
          </w:tcPr>
          <w:p>
            <w:pPr>
              <w:pStyle w:val="TableParagraph"/>
              <w:ind w:left="107" w:right="376"/>
              <w:rPr>
                <w:sz w:val="20"/>
                <w:szCs w:val="20"/>
              </w:rPr>
            </w:pPr>
            <w:r>
              <w:rPr>
                <w:b/>
                <w:sz w:val="20"/>
                <w:szCs w:val="20"/>
              </w:rPr>
              <w:t xml:space="preserve">B5: </w:t>
            </w:r>
            <w:r>
              <w:rPr>
                <w:sz w:val="20"/>
                <w:szCs w:val="20"/>
              </w:rPr>
              <w:t>Autumn 1 Diagnostic assessments for all students in all subjects. Assessments will concentrate on knowledge and skills that should</w:t>
            </w:r>
          </w:p>
          <w:p>
            <w:pPr>
              <w:pStyle w:val="TableParagraph"/>
              <w:spacing w:line="268" w:lineRule="exact"/>
              <w:ind w:left="107"/>
              <w:rPr>
                <w:sz w:val="20"/>
                <w:szCs w:val="20"/>
              </w:rPr>
            </w:pPr>
            <w:r>
              <w:rPr>
                <w:sz w:val="20"/>
                <w:szCs w:val="20"/>
              </w:rPr>
              <w:t>have been grasped between March and July 2020</w:t>
            </w:r>
          </w:p>
        </w:tc>
        <w:tc>
          <w:tcPr>
            <w:tcW w:w="3629" w:type="dxa"/>
            <w:shd w:val="clear" w:color="auto" w:fill="auto"/>
          </w:tcPr>
          <w:p>
            <w:pPr>
              <w:pStyle w:val="TableParagraph"/>
              <w:ind w:right="177"/>
              <w:rPr>
                <w:sz w:val="20"/>
                <w:szCs w:val="20"/>
              </w:rPr>
            </w:pPr>
            <w:r>
              <w:rPr>
                <w:sz w:val="20"/>
                <w:szCs w:val="20"/>
              </w:rPr>
              <w:t>Identify gaps in knowledge that have developed during lockdown. Use this information to inform intervention</w:t>
            </w:r>
          </w:p>
          <w:p>
            <w:pPr>
              <w:pStyle w:val="TableParagraph"/>
              <w:spacing w:line="249" w:lineRule="exact"/>
              <w:rPr>
                <w:sz w:val="20"/>
                <w:szCs w:val="20"/>
              </w:rPr>
            </w:pPr>
            <w:r>
              <w:rPr>
                <w:sz w:val="20"/>
                <w:szCs w:val="20"/>
              </w:rPr>
              <w:t xml:space="preserve">both in and out of the classroom </w:t>
            </w:r>
          </w:p>
        </w:tc>
        <w:tc>
          <w:tcPr>
            <w:tcW w:w="3634" w:type="dxa"/>
            <w:gridSpan w:val="3"/>
            <w:shd w:val="clear" w:color="auto" w:fill="auto"/>
          </w:tcPr>
          <w:p>
            <w:pPr>
              <w:pStyle w:val="TableParagraph"/>
              <w:spacing w:line="268" w:lineRule="exact"/>
              <w:ind w:left="125" w:right="116"/>
              <w:jc w:val="center"/>
              <w:rPr>
                <w:sz w:val="20"/>
                <w:szCs w:val="20"/>
              </w:rPr>
            </w:pPr>
            <w:r>
              <w:rPr>
                <w:sz w:val="20"/>
                <w:szCs w:val="20"/>
              </w:rPr>
              <w:t>£0</w:t>
            </w:r>
          </w:p>
        </w:tc>
      </w:tr>
      <w:tr>
        <w:trPr>
          <w:gridBefore w:val="1"/>
          <w:wBefore w:w="10" w:type="dxa"/>
          <w:trHeight w:val="803"/>
        </w:trPr>
        <w:tc>
          <w:tcPr>
            <w:tcW w:w="3629" w:type="dxa"/>
            <w:gridSpan w:val="2"/>
            <w:shd w:val="clear" w:color="auto" w:fill="auto"/>
          </w:tcPr>
          <w:p>
            <w:pPr>
              <w:pStyle w:val="TableParagraph"/>
              <w:spacing w:line="268" w:lineRule="exact"/>
              <w:rPr>
                <w:sz w:val="20"/>
                <w:szCs w:val="20"/>
              </w:rPr>
            </w:pPr>
            <w:r>
              <w:rPr>
                <w:sz w:val="20"/>
                <w:szCs w:val="20"/>
              </w:rPr>
              <w:t xml:space="preserve">7, 8, 9, 10, 11 </w:t>
            </w:r>
          </w:p>
          <w:p>
            <w:pPr>
              <w:pStyle w:val="TableParagraph"/>
              <w:spacing w:line="268" w:lineRule="exact"/>
              <w:rPr>
                <w:sz w:val="20"/>
                <w:szCs w:val="20"/>
              </w:rPr>
            </w:pPr>
            <w:r>
              <w:rPr>
                <w:sz w:val="20"/>
                <w:szCs w:val="20"/>
              </w:rPr>
              <w:t>New admissions</w:t>
            </w:r>
          </w:p>
        </w:tc>
        <w:tc>
          <w:tcPr>
            <w:tcW w:w="3630" w:type="dxa"/>
            <w:shd w:val="clear" w:color="auto" w:fill="auto"/>
          </w:tcPr>
          <w:p>
            <w:pPr>
              <w:pStyle w:val="TableParagraph"/>
              <w:spacing w:line="268" w:lineRule="exact"/>
              <w:ind w:left="107"/>
              <w:rPr>
                <w:sz w:val="20"/>
                <w:szCs w:val="20"/>
              </w:rPr>
            </w:pPr>
            <w:r>
              <w:rPr>
                <w:b/>
                <w:sz w:val="20"/>
                <w:szCs w:val="20"/>
              </w:rPr>
              <w:t xml:space="preserve">B1: </w:t>
            </w:r>
            <w:r>
              <w:rPr>
                <w:sz w:val="20"/>
                <w:szCs w:val="20"/>
              </w:rPr>
              <w:t xml:space="preserve">Purchase Reading Tests for all new admissions students </w:t>
            </w:r>
          </w:p>
        </w:tc>
        <w:tc>
          <w:tcPr>
            <w:tcW w:w="3629" w:type="dxa"/>
            <w:shd w:val="clear" w:color="auto" w:fill="auto"/>
          </w:tcPr>
          <w:p>
            <w:pPr>
              <w:pStyle w:val="TableParagraph"/>
              <w:spacing w:before="1" w:line="237" w:lineRule="auto"/>
              <w:ind w:right="506"/>
              <w:rPr>
                <w:sz w:val="20"/>
                <w:szCs w:val="20"/>
              </w:rPr>
            </w:pPr>
            <w:r>
              <w:rPr>
                <w:sz w:val="20"/>
                <w:szCs w:val="20"/>
              </w:rPr>
              <w:t>These tests will enable us to track reading ages and highlight the positive impact our Freshstart literacy programme</w:t>
            </w:r>
          </w:p>
        </w:tc>
        <w:tc>
          <w:tcPr>
            <w:tcW w:w="3634" w:type="dxa"/>
            <w:gridSpan w:val="3"/>
            <w:shd w:val="clear" w:color="auto" w:fill="auto"/>
          </w:tcPr>
          <w:p>
            <w:pPr>
              <w:pStyle w:val="TableParagraph"/>
              <w:spacing w:line="268" w:lineRule="exact"/>
              <w:ind w:left="0" w:right="437"/>
              <w:jc w:val="center"/>
              <w:rPr>
                <w:sz w:val="20"/>
                <w:szCs w:val="20"/>
              </w:rPr>
            </w:pPr>
            <w:r>
              <w:rPr>
                <w:sz w:val="20"/>
                <w:szCs w:val="20"/>
              </w:rPr>
              <w:t xml:space="preserve">        £</w:t>
            </w:r>
            <w:r>
              <w:rPr>
                <w:color w:val="000000" w:themeColor="text1"/>
                <w:sz w:val="20"/>
                <w:szCs w:val="20"/>
              </w:rPr>
              <w:t>80*</w:t>
            </w:r>
          </w:p>
        </w:tc>
      </w:tr>
      <w:tr>
        <w:trPr>
          <w:gridBefore w:val="1"/>
          <w:wBefore w:w="10" w:type="dxa"/>
          <w:trHeight w:val="804"/>
        </w:trPr>
        <w:tc>
          <w:tcPr>
            <w:tcW w:w="3629" w:type="dxa"/>
            <w:gridSpan w:val="2"/>
            <w:shd w:val="clear" w:color="auto" w:fill="auto"/>
          </w:tcPr>
          <w:p>
            <w:pPr>
              <w:pStyle w:val="TableParagraph"/>
              <w:spacing w:line="268" w:lineRule="exact"/>
              <w:rPr>
                <w:sz w:val="20"/>
                <w:szCs w:val="20"/>
              </w:rPr>
            </w:pPr>
            <w:r>
              <w:rPr>
                <w:sz w:val="20"/>
                <w:szCs w:val="20"/>
              </w:rPr>
              <w:t xml:space="preserve">7, 8, 9, 10, 11 </w:t>
            </w:r>
          </w:p>
          <w:p>
            <w:pPr>
              <w:pStyle w:val="TableParagraph"/>
              <w:spacing w:line="265" w:lineRule="exact"/>
              <w:rPr>
                <w:sz w:val="20"/>
                <w:szCs w:val="20"/>
              </w:rPr>
            </w:pPr>
            <w:r>
              <w:rPr>
                <w:sz w:val="20"/>
                <w:szCs w:val="20"/>
              </w:rPr>
              <w:t>New admissions</w:t>
            </w:r>
          </w:p>
        </w:tc>
        <w:tc>
          <w:tcPr>
            <w:tcW w:w="3630" w:type="dxa"/>
            <w:shd w:val="clear" w:color="auto" w:fill="auto"/>
          </w:tcPr>
          <w:p>
            <w:pPr>
              <w:pStyle w:val="TableParagraph"/>
              <w:ind w:left="107" w:right="376"/>
              <w:rPr>
                <w:sz w:val="20"/>
                <w:szCs w:val="20"/>
              </w:rPr>
            </w:pPr>
            <w:r>
              <w:rPr>
                <w:b/>
                <w:sz w:val="20"/>
                <w:szCs w:val="20"/>
              </w:rPr>
              <w:t xml:space="preserve">B9: </w:t>
            </w:r>
            <w:r>
              <w:rPr>
                <w:sz w:val="20"/>
                <w:szCs w:val="20"/>
              </w:rPr>
              <w:t>Home school reports and working profiles acquired for all new students and admission tests to establish working levels</w:t>
            </w:r>
          </w:p>
          <w:p>
            <w:pPr>
              <w:pStyle w:val="TableParagraph"/>
              <w:spacing w:line="249" w:lineRule="exact"/>
              <w:ind w:left="107"/>
              <w:rPr>
                <w:sz w:val="20"/>
                <w:szCs w:val="20"/>
              </w:rPr>
            </w:pPr>
          </w:p>
        </w:tc>
        <w:tc>
          <w:tcPr>
            <w:tcW w:w="3629" w:type="dxa"/>
            <w:shd w:val="clear" w:color="auto" w:fill="auto"/>
          </w:tcPr>
          <w:p>
            <w:pPr>
              <w:pStyle w:val="TableParagraph"/>
              <w:spacing w:line="249" w:lineRule="exact"/>
              <w:rPr>
                <w:sz w:val="20"/>
                <w:szCs w:val="20"/>
              </w:rPr>
            </w:pPr>
            <w:r>
              <w:rPr>
                <w:sz w:val="20"/>
                <w:szCs w:val="20"/>
              </w:rPr>
              <w:t>These reports and tests will inform of the working levels of students in the cire subjects and to inform intervention both in and out of the classroom</w:t>
            </w:r>
          </w:p>
        </w:tc>
        <w:tc>
          <w:tcPr>
            <w:tcW w:w="3634" w:type="dxa"/>
            <w:gridSpan w:val="3"/>
            <w:shd w:val="clear" w:color="auto" w:fill="auto"/>
          </w:tcPr>
          <w:p>
            <w:pPr>
              <w:pStyle w:val="TableParagraph"/>
              <w:spacing w:line="265" w:lineRule="exact"/>
              <w:ind w:left="127" w:right="116"/>
              <w:jc w:val="center"/>
              <w:rPr>
                <w:sz w:val="20"/>
                <w:szCs w:val="20"/>
              </w:rPr>
            </w:pPr>
            <w:r>
              <w:rPr>
                <w:sz w:val="20"/>
                <w:szCs w:val="20"/>
              </w:rPr>
              <w:t>£0</w:t>
            </w:r>
          </w:p>
        </w:tc>
      </w:tr>
      <w:tr>
        <w:trPr>
          <w:gridBefore w:val="1"/>
          <w:wBefore w:w="10" w:type="dxa"/>
          <w:trHeight w:val="805"/>
        </w:trPr>
        <w:tc>
          <w:tcPr>
            <w:tcW w:w="3629" w:type="dxa"/>
            <w:gridSpan w:val="2"/>
            <w:shd w:val="clear" w:color="auto" w:fill="auto"/>
          </w:tcPr>
          <w:p>
            <w:pPr>
              <w:pStyle w:val="TableParagraph"/>
              <w:spacing w:line="268" w:lineRule="exact"/>
              <w:rPr>
                <w:sz w:val="20"/>
                <w:szCs w:val="20"/>
              </w:rPr>
            </w:pPr>
            <w:r>
              <w:rPr>
                <w:sz w:val="20"/>
                <w:szCs w:val="20"/>
              </w:rPr>
              <w:t xml:space="preserve">7, 8, 9, 10, 11 </w:t>
            </w:r>
          </w:p>
          <w:p>
            <w:pPr>
              <w:pStyle w:val="TableParagraph"/>
              <w:spacing w:line="268" w:lineRule="exact"/>
              <w:rPr>
                <w:sz w:val="20"/>
                <w:szCs w:val="20"/>
              </w:rPr>
            </w:pPr>
          </w:p>
        </w:tc>
        <w:tc>
          <w:tcPr>
            <w:tcW w:w="3630" w:type="dxa"/>
            <w:shd w:val="clear" w:color="auto" w:fill="auto"/>
          </w:tcPr>
          <w:p>
            <w:pPr>
              <w:pStyle w:val="TableParagraph"/>
              <w:spacing w:line="268" w:lineRule="exact"/>
              <w:ind w:left="107"/>
              <w:rPr>
                <w:sz w:val="20"/>
                <w:szCs w:val="20"/>
              </w:rPr>
            </w:pPr>
            <w:r>
              <w:rPr>
                <w:b/>
                <w:sz w:val="20"/>
                <w:szCs w:val="20"/>
              </w:rPr>
              <w:t xml:space="preserve">B5: </w:t>
            </w:r>
            <w:r>
              <w:rPr>
                <w:sz w:val="20"/>
                <w:szCs w:val="20"/>
              </w:rPr>
              <w:t>No students to miss learning time; ‘Protect every lesson like it</w:t>
            </w:r>
          </w:p>
          <w:p>
            <w:pPr>
              <w:pStyle w:val="TableParagraph"/>
              <w:spacing w:line="249" w:lineRule="exact"/>
              <w:ind w:left="107"/>
              <w:rPr>
                <w:sz w:val="20"/>
                <w:szCs w:val="20"/>
              </w:rPr>
            </w:pPr>
            <w:r>
              <w:rPr>
                <w:sz w:val="20"/>
                <w:szCs w:val="20"/>
              </w:rPr>
              <w:t>was their last’ to avoid any further gaps in knowledge.</w:t>
            </w:r>
          </w:p>
        </w:tc>
        <w:tc>
          <w:tcPr>
            <w:tcW w:w="3629" w:type="dxa"/>
            <w:shd w:val="clear" w:color="auto" w:fill="auto"/>
          </w:tcPr>
          <w:p>
            <w:pPr>
              <w:pStyle w:val="TableParagraph"/>
              <w:spacing w:line="268" w:lineRule="exact"/>
              <w:rPr>
                <w:sz w:val="20"/>
                <w:szCs w:val="20"/>
              </w:rPr>
            </w:pPr>
            <w:r>
              <w:rPr>
                <w:sz w:val="20"/>
                <w:szCs w:val="20"/>
              </w:rPr>
              <w:t>There is no substitute for being in front of the teacher</w:t>
            </w:r>
          </w:p>
          <w:p>
            <w:pPr>
              <w:pStyle w:val="TableParagraph"/>
              <w:spacing w:line="249" w:lineRule="exact"/>
              <w:rPr>
                <w:sz w:val="20"/>
                <w:szCs w:val="20"/>
              </w:rPr>
            </w:pPr>
            <w:r>
              <w:rPr>
                <w:sz w:val="20"/>
                <w:szCs w:val="20"/>
              </w:rPr>
              <w:t>as school closure has so clearly demonstrated.</w:t>
            </w:r>
          </w:p>
        </w:tc>
        <w:tc>
          <w:tcPr>
            <w:tcW w:w="3634" w:type="dxa"/>
            <w:gridSpan w:val="3"/>
            <w:shd w:val="clear" w:color="auto" w:fill="auto"/>
          </w:tcPr>
          <w:p>
            <w:pPr>
              <w:pStyle w:val="TableParagraph"/>
              <w:spacing w:line="268" w:lineRule="exact"/>
              <w:ind w:left="125" w:right="116"/>
              <w:jc w:val="center"/>
              <w:rPr>
                <w:sz w:val="20"/>
                <w:szCs w:val="20"/>
              </w:rPr>
            </w:pPr>
            <w:r>
              <w:rPr>
                <w:sz w:val="20"/>
                <w:szCs w:val="20"/>
              </w:rPr>
              <w:t>£0</w:t>
            </w:r>
          </w:p>
        </w:tc>
      </w:tr>
      <w:tr>
        <w:trPr>
          <w:gridBefore w:val="1"/>
          <w:wBefore w:w="10" w:type="dxa"/>
          <w:trHeight w:val="805"/>
        </w:trPr>
        <w:tc>
          <w:tcPr>
            <w:tcW w:w="3629" w:type="dxa"/>
            <w:gridSpan w:val="2"/>
            <w:shd w:val="clear" w:color="auto" w:fill="auto"/>
          </w:tcPr>
          <w:p>
            <w:pPr>
              <w:pStyle w:val="TableParagraph"/>
              <w:spacing w:line="268" w:lineRule="exact"/>
              <w:rPr>
                <w:sz w:val="20"/>
                <w:szCs w:val="20"/>
              </w:rPr>
            </w:pPr>
            <w:r>
              <w:rPr>
                <w:sz w:val="20"/>
                <w:szCs w:val="20"/>
              </w:rPr>
              <w:t xml:space="preserve">7, 8, 9, 10, 11 </w:t>
            </w:r>
          </w:p>
          <w:p>
            <w:pPr>
              <w:pStyle w:val="TableParagraph"/>
              <w:spacing w:line="268" w:lineRule="exact"/>
              <w:rPr>
                <w:sz w:val="20"/>
                <w:szCs w:val="20"/>
              </w:rPr>
            </w:pPr>
          </w:p>
        </w:tc>
        <w:tc>
          <w:tcPr>
            <w:tcW w:w="3630" w:type="dxa"/>
            <w:shd w:val="clear" w:color="auto" w:fill="auto"/>
          </w:tcPr>
          <w:p>
            <w:pPr>
              <w:pStyle w:val="TableParagraph"/>
              <w:spacing w:line="268" w:lineRule="exact"/>
              <w:ind w:left="107"/>
              <w:rPr>
                <w:b/>
                <w:sz w:val="20"/>
                <w:szCs w:val="20"/>
              </w:rPr>
            </w:pPr>
            <w:r>
              <w:rPr>
                <w:b/>
                <w:sz w:val="20"/>
                <w:szCs w:val="20"/>
              </w:rPr>
              <w:t xml:space="preserve">B4: </w:t>
            </w:r>
            <w:r>
              <w:rPr>
                <w:sz w:val="20"/>
                <w:szCs w:val="20"/>
              </w:rPr>
              <w:t>Ensure all students in all years have a computer and access to the internet at home</w:t>
            </w:r>
          </w:p>
        </w:tc>
        <w:tc>
          <w:tcPr>
            <w:tcW w:w="3629" w:type="dxa"/>
            <w:shd w:val="clear" w:color="auto" w:fill="auto"/>
          </w:tcPr>
          <w:p>
            <w:pPr>
              <w:pStyle w:val="TableParagraph"/>
              <w:spacing w:line="268" w:lineRule="exact"/>
              <w:rPr>
                <w:sz w:val="20"/>
                <w:szCs w:val="20"/>
              </w:rPr>
            </w:pPr>
            <w:r>
              <w:rPr>
                <w:sz w:val="20"/>
                <w:szCs w:val="20"/>
              </w:rPr>
              <w:t>This will allow students to access all online learning resources at home whether for homework, periods of</w:t>
            </w:r>
          </w:p>
          <w:p>
            <w:pPr>
              <w:pStyle w:val="TableParagraph"/>
              <w:spacing w:line="268" w:lineRule="exact"/>
              <w:rPr>
                <w:b/>
                <w:sz w:val="20"/>
                <w:szCs w:val="20"/>
              </w:rPr>
            </w:pPr>
            <w:r>
              <w:rPr>
                <w:sz w:val="20"/>
                <w:szCs w:val="20"/>
              </w:rPr>
              <w:t>self-isolation, or local lockdown events</w:t>
            </w:r>
          </w:p>
        </w:tc>
        <w:tc>
          <w:tcPr>
            <w:tcW w:w="3634" w:type="dxa"/>
            <w:gridSpan w:val="3"/>
            <w:shd w:val="clear" w:color="auto" w:fill="auto"/>
          </w:tcPr>
          <w:p>
            <w:pPr>
              <w:pStyle w:val="TableParagraph"/>
              <w:spacing w:line="268" w:lineRule="exact"/>
              <w:rPr>
                <w:sz w:val="20"/>
                <w:szCs w:val="20"/>
              </w:rPr>
            </w:pPr>
            <w:r>
              <w:rPr>
                <w:sz w:val="20"/>
                <w:szCs w:val="20"/>
              </w:rPr>
              <w:t>Tap in to DfE Help with Tech initiative - laptops and tablets for disadvantaged children who cannot attend school</w:t>
            </w:r>
          </w:p>
          <w:p>
            <w:pPr>
              <w:pStyle w:val="TableParagraph"/>
              <w:spacing w:line="268" w:lineRule="exact"/>
              <w:rPr>
                <w:sz w:val="20"/>
                <w:szCs w:val="20"/>
              </w:rPr>
            </w:pPr>
          </w:p>
          <w:p>
            <w:pPr>
              <w:pStyle w:val="TableParagraph"/>
              <w:spacing w:line="268" w:lineRule="exact"/>
              <w:rPr>
                <w:b/>
                <w:sz w:val="20"/>
                <w:szCs w:val="20"/>
              </w:rPr>
            </w:pPr>
            <w:r>
              <w:rPr>
                <w:sz w:val="20"/>
                <w:szCs w:val="20"/>
              </w:rPr>
              <w:t xml:space="preserve">Seek home school/LA support </w:t>
            </w:r>
          </w:p>
        </w:tc>
      </w:tr>
      <w:tr>
        <w:trPr>
          <w:gridBefore w:val="1"/>
          <w:wBefore w:w="10" w:type="dxa"/>
          <w:trHeight w:val="274"/>
        </w:trPr>
        <w:tc>
          <w:tcPr>
            <w:tcW w:w="3629" w:type="dxa"/>
            <w:gridSpan w:val="2"/>
            <w:shd w:val="clear" w:color="auto" w:fill="auto"/>
          </w:tcPr>
          <w:p>
            <w:pPr>
              <w:pStyle w:val="TableParagraph"/>
              <w:spacing w:line="268" w:lineRule="exact"/>
              <w:rPr>
                <w:sz w:val="20"/>
                <w:szCs w:val="20"/>
              </w:rPr>
            </w:pPr>
            <w:r>
              <w:rPr>
                <w:sz w:val="20"/>
                <w:szCs w:val="20"/>
              </w:rPr>
              <w:t xml:space="preserve">7, 8, 9, 10, 11 </w:t>
            </w:r>
          </w:p>
          <w:p>
            <w:pPr>
              <w:pStyle w:val="TableParagraph"/>
              <w:spacing w:line="268" w:lineRule="exact"/>
              <w:rPr>
                <w:sz w:val="20"/>
                <w:szCs w:val="20"/>
              </w:rPr>
            </w:pPr>
          </w:p>
        </w:tc>
        <w:tc>
          <w:tcPr>
            <w:tcW w:w="3630" w:type="dxa"/>
            <w:shd w:val="clear" w:color="auto" w:fill="auto"/>
          </w:tcPr>
          <w:p>
            <w:pPr>
              <w:pStyle w:val="TableParagraph"/>
              <w:ind w:left="107" w:right="397"/>
              <w:rPr>
                <w:sz w:val="20"/>
                <w:szCs w:val="20"/>
              </w:rPr>
            </w:pPr>
            <w:r>
              <w:rPr>
                <w:b/>
                <w:bCs/>
                <w:sz w:val="20"/>
                <w:szCs w:val="20"/>
              </w:rPr>
              <w:t>B4</w:t>
            </w:r>
            <w:r>
              <w:rPr>
                <w:sz w:val="20"/>
                <w:szCs w:val="20"/>
              </w:rPr>
              <w:t>: Ensure all students that do not have access to computers and cannot access the internet at home have access to home learning packs in all subjects</w:t>
            </w:r>
          </w:p>
        </w:tc>
        <w:tc>
          <w:tcPr>
            <w:tcW w:w="3629" w:type="dxa"/>
            <w:shd w:val="clear" w:color="auto" w:fill="auto"/>
          </w:tcPr>
          <w:p>
            <w:pPr>
              <w:pStyle w:val="TableParagraph"/>
              <w:ind w:right="277"/>
              <w:rPr>
                <w:sz w:val="20"/>
                <w:szCs w:val="20"/>
              </w:rPr>
            </w:pPr>
            <w:r>
              <w:rPr>
                <w:sz w:val="20"/>
                <w:szCs w:val="20"/>
              </w:rPr>
              <w:t>This will allow students to access all learning resources at home whether for homework, periods of</w:t>
            </w:r>
          </w:p>
          <w:p>
            <w:pPr>
              <w:pStyle w:val="TableParagraph"/>
              <w:spacing w:line="249" w:lineRule="exact"/>
              <w:rPr>
                <w:sz w:val="20"/>
                <w:szCs w:val="20"/>
              </w:rPr>
            </w:pPr>
            <w:r>
              <w:rPr>
                <w:sz w:val="20"/>
                <w:szCs w:val="20"/>
              </w:rPr>
              <w:t>self-isolation, or local lockdown events</w:t>
            </w:r>
          </w:p>
        </w:tc>
        <w:tc>
          <w:tcPr>
            <w:tcW w:w="3634" w:type="dxa"/>
            <w:gridSpan w:val="3"/>
            <w:shd w:val="clear" w:color="auto" w:fill="auto"/>
          </w:tcPr>
          <w:p>
            <w:pPr>
              <w:pStyle w:val="TableParagraph"/>
              <w:spacing w:line="268" w:lineRule="exact"/>
              <w:ind w:left="126" w:right="116"/>
              <w:jc w:val="center"/>
              <w:rPr>
                <w:sz w:val="20"/>
                <w:szCs w:val="20"/>
              </w:rPr>
            </w:pPr>
            <w:r>
              <w:rPr>
                <w:sz w:val="20"/>
                <w:szCs w:val="20"/>
              </w:rPr>
              <w:t>£</w:t>
            </w:r>
            <w:r>
              <w:rPr>
                <w:color w:val="000000" w:themeColor="text1"/>
                <w:sz w:val="20"/>
                <w:szCs w:val="20"/>
              </w:rPr>
              <w:t>100*</w:t>
            </w:r>
          </w:p>
        </w:tc>
      </w:tr>
      <w:tr>
        <w:trPr>
          <w:gridBefore w:val="1"/>
          <w:wBefore w:w="10" w:type="dxa"/>
          <w:trHeight w:val="805"/>
        </w:trPr>
        <w:tc>
          <w:tcPr>
            <w:tcW w:w="3629" w:type="dxa"/>
            <w:gridSpan w:val="2"/>
            <w:shd w:val="clear" w:color="auto" w:fill="auto"/>
          </w:tcPr>
          <w:p>
            <w:pPr>
              <w:pStyle w:val="TableParagraph"/>
              <w:spacing w:line="268" w:lineRule="exact"/>
              <w:rPr>
                <w:sz w:val="20"/>
                <w:szCs w:val="20"/>
              </w:rPr>
            </w:pPr>
            <w:r>
              <w:rPr>
                <w:sz w:val="20"/>
                <w:szCs w:val="20"/>
              </w:rPr>
              <w:lastRenderedPageBreak/>
              <w:t xml:space="preserve">7, 8, 9, 10, 11 </w:t>
            </w:r>
          </w:p>
          <w:p>
            <w:pPr>
              <w:pStyle w:val="TableParagraph"/>
              <w:spacing w:line="268" w:lineRule="exact"/>
              <w:rPr>
                <w:sz w:val="20"/>
                <w:szCs w:val="20"/>
              </w:rPr>
            </w:pPr>
          </w:p>
        </w:tc>
        <w:tc>
          <w:tcPr>
            <w:tcW w:w="3630" w:type="dxa"/>
            <w:shd w:val="clear" w:color="auto" w:fill="auto"/>
          </w:tcPr>
          <w:p>
            <w:pPr>
              <w:pStyle w:val="TableParagraph"/>
              <w:ind w:left="107" w:right="288"/>
              <w:rPr>
                <w:b/>
                <w:sz w:val="20"/>
                <w:szCs w:val="20"/>
              </w:rPr>
            </w:pPr>
            <w:r>
              <w:rPr>
                <w:b/>
                <w:sz w:val="20"/>
                <w:szCs w:val="20"/>
              </w:rPr>
              <w:t xml:space="preserve">B5 B6 </w:t>
            </w:r>
            <w:r>
              <w:rPr>
                <w:sz w:val="20"/>
                <w:szCs w:val="20"/>
              </w:rPr>
              <w:t>Track Blended learning Engagement to keep positive momentum created during lock down</w:t>
            </w:r>
          </w:p>
        </w:tc>
        <w:tc>
          <w:tcPr>
            <w:tcW w:w="3629" w:type="dxa"/>
            <w:shd w:val="clear" w:color="auto" w:fill="auto"/>
          </w:tcPr>
          <w:p>
            <w:pPr>
              <w:pStyle w:val="TableParagraph"/>
              <w:ind w:right="282"/>
              <w:rPr>
                <w:sz w:val="20"/>
                <w:szCs w:val="20"/>
              </w:rPr>
            </w:pPr>
            <w:r>
              <w:rPr>
                <w:sz w:val="20"/>
                <w:szCs w:val="20"/>
              </w:rPr>
              <w:t>TJA Online protocol for school closure and School Closure Contingency Plan for Outbreaks incl. remote learning with referral to parent and student app</w:t>
            </w:r>
          </w:p>
        </w:tc>
        <w:tc>
          <w:tcPr>
            <w:tcW w:w="3634" w:type="dxa"/>
            <w:gridSpan w:val="3"/>
            <w:shd w:val="clear" w:color="auto" w:fill="auto"/>
          </w:tcPr>
          <w:p>
            <w:pPr>
              <w:pStyle w:val="TableParagraph"/>
              <w:spacing w:line="268" w:lineRule="exact"/>
              <w:ind w:left="126" w:right="116"/>
              <w:jc w:val="center"/>
              <w:rPr>
                <w:sz w:val="20"/>
                <w:szCs w:val="20"/>
              </w:rPr>
            </w:pPr>
            <w:r>
              <w:rPr>
                <w:sz w:val="20"/>
                <w:szCs w:val="20"/>
              </w:rPr>
              <w:t>£0</w:t>
            </w:r>
          </w:p>
        </w:tc>
      </w:tr>
      <w:tr>
        <w:trPr>
          <w:gridBefore w:val="1"/>
          <w:wBefore w:w="10" w:type="dxa"/>
          <w:trHeight w:val="805"/>
        </w:trPr>
        <w:tc>
          <w:tcPr>
            <w:tcW w:w="3629" w:type="dxa"/>
            <w:gridSpan w:val="2"/>
            <w:shd w:val="clear" w:color="auto" w:fill="auto"/>
          </w:tcPr>
          <w:p>
            <w:pPr>
              <w:pStyle w:val="TableParagraph"/>
              <w:spacing w:line="268" w:lineRule="exact"/>
              <w:rPr>
                <w:sz w:val="20"/>
                <w:szCs w:val="20"/>
              </w:rPr>
            </w:pPr>
            <w:r>
              <w:rPr>
                <w:sz w:val="20"/>
                <w:szCs w:val="20"/>
              </w:rPr>
              <w:t xml:space="preserve">7, 8, 9, 10, 11 </w:t>
            </w:r>
          </w:p>
          <w:p>
            <w:pPr>
              <w:pStyle w:val="TableParagraph"/>
              <w:spacing w:line="268" w:lineRule="exact"/>
              <w:rPr>
                <w:sz w:val="20"/>
                <w:szCs w:val="20"/>
              </w:rPr>
            </w:pPr>
          </w:p>
        </w:tc>
        <w:tc>
          <w:tcPr>
            <w:tcW w:w="3630" w:type="dxa"/>
            <w:shd w:val="clear" w:color="auto" w:fill="auto"/>
          </w:tcPr>
          <w:p>
            <w:pPr>
              <w:pStyle w:val="TableParagraph"/>
              <w:ind w:left="107" w:right="288"/>
              <w:rPr>
                <w:b/>
                <w:sz w:val="20"/>
                <w:szCs w:val="20"/>
              </w:rPr>
            </w:pPr>
            <w:r>
              <w:rPr>
                <w:b/>
                <w:sz w:val="20"/>
                <w:szCs w:val="20"/>
              </w:rPr>
              <w:t xml:space="preserve">B7: </w:t>
            </w:r>
            <w:r>
              <w:rPr>
                <w:sz w:val="20"/>
                <w:szCs w:val="20"/>
              </w:rPr>
              <w:t xml:space="preserve">Sharing of best practice through focused T&amp;L CPD and guides </w:t>
            </w:r>
          </w:p>
        </w:tc>
        <w:tc>
          <w:tcPr>
            <w:tcW w:w="3629" w:type="dxa"/>
            <w:shd w:val="clear" w:color="auto" w:fill="auto"/>
          </w:tcPr>
          <w:p>
            <w:pPr>
              <w:pStyle w:val="TableParagraph"/>
              <w:ind w:right="282"/>
              <w:rPr>
                <w:sz w:val="20"/>
                <w:szCs w:val="20"/>
              </w:rPr>
            </w:pPr>
            <w:r>
              <w:rPr>
                <w:sz w:val="20"/>
                <w:szCs w:val="20"/>
              </w:rPr>
              <w:t>Access to effective classroom practice being shared and student learning optimised</w:t>
            </w:r>
          </w:p>
        </w:tc>
        <w:tc>
          <w:tcPr>
            <w:tcW w:w="3634" w:type="dxa"/>
            <w:gridSpan w:val="3"/>
            <w:shd w:val="clear" w:color="auto" w:fill="auto"/>
          </w:tcPr>
          <w:p>
            <w:pPr>
              <w:pStyle w:val="TableParagraph"/>
              <w:spacing w:line="268" w:lineRule="exact"/>
              <w:ind w:left="126" w:right="116"/>
              <w:jc w:val="center"/>
              <w:rPr>
                <w:sz w:val="20"/>
                <w:szCs w:val="20"/>
              </w:rPr>
            </w:pPr>
            <w:r>
              <w:rPr>
                <w:sz w:val="20"/>
                <w:szCs w:val="20"/>
              </w:rPr>
              <w:t>£0</w:t>
            </w:r>
          </w:p>
        </w:tc>
      </w:tr>
      <w:tr>
        <w:trPr>
          <w:gridBefore w:val="1"/>
          <w:wBefore w:w="10" w:type="dxa"/>
          <w:trHeight w:val="805"/>
        </w:trPr>
        <w:tc>
          <w:tcPr>
            <w:tcW w:w="3629" w:type="dxa"/>
            <w:gridSpan w:val="2"/>
            <w:shd w:val="clear" w:color="auto" w:fill="auto"/>
          </w:tcPr>
          <w:p>
            <w:pPr>
              <w:pStyle w:val="TableParagraph"/>
              <w:spacing w:line="268" w:lineRule="exact"/>
              <w:rPr>
                <w:sz w:val="20"/>
                <w:szCs w:val="20"/>
              </w:rPr>
            </w:pPr>
            <w:r>
              <w:rPr>
                <w:sz w:val="20"/>
                <w:szCs w:val="20"/>
              </w:rPr>
              <w:t>11</w:t>
            </w:r>
          </w:p>
        </w:tc>
        <w:tc>
          <w:tcPr>
            <w:tcW w:w="3630" w:type="dxa"/>
            <w:shd w:val="clear" w:color="auto" w:fill="auto"/>
          </w:tcPr>
          <w:p>
            <w:pPr>
              <w:pStyle w:val="TableParagraph"/>
              <w:ind w:left="107" w:right="288"/>
              <w:rPr>
                <w:sz w:val="20"/>
                <w:szCs w:val="20"/>
              </w:rPr>
            </w:pPr>
            <w:r>
              <w:rPr>
                <w:b/>
                <w:sz w:val="20"/>
                <w:szCs w:val="20"/>
              </w:rPr>
              <w:t xml:space="preserve">B2: </w:t>
            </w:r>
            <w:r>
              <w:rPr>
                <w:sz w:val="20"/>
                <w:szCs w:val="20"/>
              </w:rPr>
              <w:t>Pace planning in all subject areas to ensure the lesson time remaining is sufficient to cover all syllabus content to be examined</w:t>
            </w:r>
          </w:p>
        </w:tc>
        <w:tc>
          <w:tcPr>
            <w:tcW w:w="3629" w:type="dxa"/>
            <w:shd w:val="clear" w:color="auto" w:fill="auto"/>
          </w:tcPr>
          <w:p>
            <w:pPr>
              <w:pStyle w:val="TableParagraph"/>
              <w:ind w:right="282"/>
              <w:rPr>
                <w:sz w:val="20"/>
                <w:szCs w:val="20"/>
              </w:rPr>
            </w:pPr>
            <w:r>
              <w:rPr>
                <w:sz w:val="20"/>
                <w:szCs w:val="20"/>
              </w:rPr>
              <w:t>Planning a lesson-by-lesson approach will ensure content is delivered in time while being able to assess along the way</w:t>
            </w:r>
          </w:p>
        </w:tc>
        <w:tc>
          <w:tcPr>
            <w:tcW w:w="3634" w:type="dxa"/>
            <w:gridSpan w:val="3"/>
            <w:shd w:val="clear" w:color="auto" w:fill="auto"/>
          </w:tcPr>
          <w:p>
            <w:pPr>
              <w:pStyle w:val="TableParagraph"/>
              <w:spacing w:line="268" w:lineRule="exact"/>
              <w:ind w:left="126" w:right="116"/>
              <w:jc w:val="center"/>
              <w:rPr>
                <w:sz w:val="20"/>
                <w:szCs w:val="20"/>
              </w:rPr>
            </w:pPr>
            <w:r>
              <w:rPr>
                <w:sz w:val="20"/>
                <w:szCs w:val="20"/>
              </w:rPr>
              <w:t>£0</w:t>
            </w:r>
          </w:p>
        </w:tc>
      </w:tr>
      <w:tr>
        <w:trPr>
          <w:gridBefore w:val="1"/>
          <w:wBefore w:w="10" w:type="dxa"/>
          <w:trHeight w:val="805"/>
        </w:trPr>
        <w:tc>
          <w:tcPr>
            <w:tcW w:w="3629" w:type="dxa"/>
            <w:gridSpan w:val="2"/>
            <w:shd w:val="clear" w:color="auto" w:fill="auto"/>
          </w:tcPr>
          <w:p>
            <w:pPr>
              <w:pStyle w:val="TableParagraph"/>
              <w:spacing w:line="268" w:lineRule="exact"/>
              <w:rPr>
                <w:sz w:val="20"/>
                <w:szCs w:val="20"/>
              </w:rPr>
            </w:pPr>
            <w:r>
              <w:rPr>
                <w:sz w:val="20"/>
                <w:szCs w:val="20"/>
              </w:rPr>
              <w:t>11</w:t>
            </w:r>
          </w:p>
        </w:tc>
        <w:tc>
          <w:tcPr>
            <w:tcW w:w="3630" w:type="dxa"/>
            <w:shd w:val="clear" w:color="auto" w:fill="auto"/>
          </w:tcPr>
          <w:p>
            <w:pPr>
              <w:pStyle w:val="TableParagraph"/>
              <w:ind w:left="107" w:right="288"/>
              <w:rPr>
                <w:sz w:val="20"/>
                <w:szCs w:val="20"/>
              </w:rPr>
            </w:pPr>
            <w:r>
              <w:rPr>
                <w:b/>
                <w:bCs/>
                <w:sz w:val="20"/>
                <w:szCs w:val="20"/>
              </w:rPr>
              <w:t>B5 B13:</w:t>
            </w:r>
            <w:r>
              <w:rPr>
                <w:sz w:val="20"/>
                <w:szCs w:val="20"/>
              </w:rPr>
              <w:t xml:space="preserve"> PSHRE, Tutor time, Year 11 conference and assemblies is as least as effective as classroom teaching</w:t>
            </w:r>
          </w:p>
        </w:tc>
        <w:tc>
          <w:tcPr>
            <w:tcW w:w="3629" w:type="dxa"/>
            <w:shd w:val="clear" w:color="auto" w:fill="auto"/>
          </w:tcPr>
          <w:p>
            <w:pPr>
              <w:pStyle w:val="TableParagraph"/>
              <w:ind w:right="282"/>
              <w:rPr>
                <w:sz w:val="20"/>
                <w:szCs w:val="20"/>
              </w:rPr>
            </w:pPr>
            <w:r>
              <w:rPr>
                <w:sz w:val="20"/>
                <w:szCs w:val="20"/>
              </w:rPr>
              <w:t>Additional opportunity to plug gaps in subject knowledge and prepare students for examination</w:t>
            </w:r>
          </w:p>
        </w:tc>
        <w:tc>
          <w:tcPr>
            <w:tcW w:w="3634" w:type="dxa"/>
            <w:gridSpan w:val="3"/>
            <w:shd w:val="clear" w:color="auto" w:fill="auto"/>
          </w:tcPr>
          <w:p>
            <w:pPr>
              <w:pStyle w:val="TableParagraph"/>
              <w:spacing w:line="268" w:lineRule="exact"/>
              <w:ind w:left="126" w:right="116"/>
              <w:jc w:val="center"/>
              <w:rPr>
                <w:sz w:val="20"/>
                <w:szCs w:val="20"/>
              </w:rPr>
            </w:pPr>
            <w:r>
              <w:rPr>
                <w:sz w:val="20"/>
                <w:szCs w:val="20"/>
              </w:rPr>
              <w:t>£0</w:t>
            </w:r>
          </w:p>
        </w:tc>
      </w:tr>
      <w:tr>
        <w:trPr>
          <w:gridBefore w:val="1"/>
          <w:wBefore w:w="10" w:type="dxa"/>
          <w:trHeight w:val="805"/>
        </w:trPr>
        <w:tc>
          <w:tcPr>
            <w:tcW w:w="3629" w:type="dxa"/>
            <w:gridSpan w:val="2"/>
            <w:shd w:val="clear" w:color="auto" w:fill="auto"/>
          </w:tcPr>
          <w:p>
            <w:pPr>
              <w:pStyle w:val="TableParagraph"/>
              <w:spacing w:line="268" w:lineRule="exact"/>
              <w:rPr>
                <w:sz w:val="20"/>
                <w:szCs w:val="20"/>
              </w:rPr>
            </w:pPr>
            <w:r>
              <w:rPr>
                <w:sz w:val="20"/>
                <w:szCs w:val="20"/>
              </w:rPr>
              <w:t>11</w:t>
            </w:r>
          </w:p>
        </w:tc>
        <w:tc>
          <w:tcPr>
            <w:tcW w:w="3630" w:type="dxa"/>
            <w:shd w:val="clear" w:color="auto" w:fill="auto"/>
          </w:tcPr>
          <w:p>
            <w:pPr>
              <w:pStyle w:val="TableParagraph"/>
              <w:ind w:left="107" w:right="288"/>
              <w:rPr>
                <w:b/>
                <w:bCs/>
                <w:sz w:val="20"/>
                <w:szCs w:val="20"/>
              </w:rPr>
            </w:pPr>
            <w:r>
              <w:rPr>
                <w:b/>
                <w:bCs/>
                <w:sz w:val="20"/>
                <w:szCs w:val="20"/>
              </w:rPr>
              <w:t>B5:</w:t>
            </w:r>
            <w:r>
              <w:rPr>
                <w:sz w:val="20"/>
                <w:szCs w:val="20"/>
              </w:rPr>
              <w:t xml:space="preserve"> to create and generate mock papers from searchable past exam papers </w:t>
            </w:r>
          </w:p>
        </w:tc>
        <w:tc>
          <w:tcPr>
            <w:tcW w:w="3629" w:type="dxa"/>
            <w:shd w:val="clear" w:color="auto" w:fill="auto"/>
          </w:tcPr>
          <w:p>
            <w:pPr>
              <w:pStyle w:val="TableParagraph"/>
              <w:ind w:right="282"/>
              <w:rPr>
                <w:sz w:val="20"/>
                <w:szCs w:val="20"/>
              </w:rPr>
            </w:pPr>
            <w:r>
              <w:rPr>
                <w:sz w:val="20"/>
                <w:szCs w:val="20"/>
              </w:rPr>
              <w:t>Access for teachers to exam assessment tools that allow access to searchable past GCSE questions, mark schemes and examiner comments to embed in your teaching</w:t>
            </w:r>
          </w:p>
        </w:tc>
        <w:tc>
          <w:tcPr>
            <w:tcW w:w="3634" w:type="dxa"/>
            <w:gridSpan w:val="3"/>
            <w:shd w:val="clear" w:color="auto" w:fill="auto"/>
          </w:tcPr>
          <w:p>
            <w:pPr>
              <w:pStyle w:val="TableParagraph"/>
              <w:spacing w:line="268" w:lineRule="exact"/>
              <w:ind w:left="126" w:right="116"/>
              <w:jc w:val="center"/>
              <w:rPr>
                <w:sz w:val="20"/>
                <w:szCs w:val="20"/>
              </w:rPr>
            </w:pPr>
            <w:r>
              <w:rPr>
                <w:sz w:val="20"/>
                <w:szCs w:val="20"/>
              </w:rPr>
              <w:t>Exam PRO</w:t>
            </w:r>
          </w:p>
          <w:p>
            <w:pPr>
              <w:pStyle w:val="TableParagraph"/>
              <w:spacing w:line="268" w:lineRule="exact"/>
              <w:ind w:left="126" w:right="116"/>
              <w:jc w:val="center"/>
              <w:rPr>
                <w:sz w:val="20"/>
                <w:szCs w:val="20"/>
              </w:rPr>
            </w:pPr>
            <w:r>
              <w:rPr>
                <w:sz w:val="20"/>
                <w:szCs w:val="20"/>
              </w:rPr>
              <w:t>£</w:t>
            </w:r>
            <w:r>
              <w:rPr>
                <w:color w:val="000000" w:themeColor="text1"/>
                <w:sz w:val="20"/>
                <w:szCs w:val="20"/>
              </w:rPr>
              <w:t>174*</w:t>
            </w:r>
          </w:p>
        </w:tc>
      </w:tr>
      <w:tr>
        <w:trPr>
          <w:gridBefore w:val="1"/>
          <w:wBefore w:w="10" w:type="dxa"/>
          <w:trHeight w:val="805"/>
        </w:trPr>
        <w:tc>
          <w:tcPr>
            <w:tcW w:w="3629" w:type="dxa"/>
            <w:gridSpan w:val="2"/>
            <w:shd w:val="clear" w:color="auto" w:fill="auto"/>
          </w:tcPr>
          <w:p>
            <w:pPr>
              <w:pStyle w:val="TableParagraph"/>
              <w:spacing w:line="268" w:lineRule="exact"/>
              <w:rPr>
                <w:sz w:val="20"/>
                <w:szCs w:val="20"/>
              </w:rPr>
            </w:pPr>
            <w:r>
              <w:rPr>
                <w:sz w:val="20"/>
                <w:szCs w:val="20"/>
              </w:rPr>
              <w:t>9, 10, 11</w:t>
            </w:r>
          </w:p>
        </w:tc>
        <w:tc>
          <w:tcPr>
            <w:tcW w:w="3630" w:type="dxa"/>
            <w:shd w:val="clear" w:color="auto" w:fill="auto"/>
          </w:tcPr>
          <w:p>
            <w:pPr>
              <w:pStyle w:val="TableParagraph"/>
              <w:ind w:left="107" w:right="288"/>
              <w:rPr>
                <w:b/>
                <w:bCs/>
                <w:sz w:val="20"/>
                <w:szCs w:val="20"/>
              </w:rPr>
            </w:pPr>
            <w:r>
              <w:rPr>
                <w:b/>
                <w:bCs/>
                <w:sz w:val="20"/>
                <w:szCs w:val="20"/>
              </w:rPr>
              <w:t xml:space="preserve">B2: </w:t>
            </w:r>
            <w:r>
              <w:rPr>
                <w:sz w:val="20"/>
                <w:szCs w:val="20"/>
              </w:rPr>
              <w:t xml:space="preserve">Ensure that all KS4 teachers are aware and offered support in their exam specifications </w:t>
            </w:r>
          </w:p>
        </w:tc>
        <w:tc>
          <w:tcPr>
            <w:tcW w:w="3629" w:type="dxa"/>
            <w:shd w:val="clear" w:color="auto" w:fill="auto"/>
          </w:tcPr>
          <w:p>
            <w:pPr>
              <w:pStyle w:val="TableParagraph"/>
              <w:ind w:right="282"/>
              <w:rPr>
                <w:sz w:val="20"/>
                <w:szCs w:val="20"/>
              </w:rPr>
            </w:pPr>
            <w:r>
              <w:rPr>
                <w:sz w:val="20"/>
                <w:szCs w:val="20"/>
              </w:rPr>
              <w:t>This will raise awareness of specification changes which means curriculum is altered and signposted to additional support</w:t>
            </w:r>
          </w:p>
        </w:tc>
        <w:tc>
          <w:tcPr>
            <w:tcW w:w="3634" w:type="dxa"/>
            <w:gridSpan w:val="3"/>
            <w:shd w:val="clear" w:color="auto" w:fill="auto"/>
          </w:tcPr>
          <w:p>
            <w:pPr>
              <w:pStyle w:val="TableParagraph"/>
              <w:spacing w:line="268" w:lineRule="exact"/>
              <w:ind w:left="126" w:right="116"/>
              <w:jc w:val="center"/>
              <w:rPr>
                <w:sz w:val="20"/>
                <w:szCs w:val="20"/>
              </w:rPr>
            </w:pPr>
            <w:r>
              <w:rPr>
                <w:sz w:val="20"/>
                <w:szCs w:val="20"/>
              </w:rPr>
              <w:t>£0</w:t>
            </w:r>
          </w:p>
        </w:tc>
      </w:tr>
      <w:tr>
        <w:trPr>
          <w:gridBefore w:val="1"/>
          <w:wBefore w:w="10" w:type="dxa"/>
          <w:trHeight w:val="805"/>
        </w:trPr>
        <w:tc>
          <w:tcPr>
            <w:tcW w:w="3629" w:type="dxa"/>
            <w:gridSpan w:val="2"/>
            <w:shd w:val="clear" w:color="auto" w:fill="auto"/>
          </w:tcPr>
          <w:p>
            <w:pPr>
              <w:pStyle w:val="TableParagraph"/>
              <w:spacing w:line="268" w:lineRule="exact"/>
              <w:rPr>
                <w:sz w:val="20"/>
                <w:szCs w:val="20"/>
              </w:rPr>
            </w:pPr>
            <w:r>
              <w:rPr>
                <w:sz w:val="20"/>
                <w:szCs w:val="20"/>
              </w:rPr>
              <w:t xml:space="preserve">7, 8, 9, 10, 11 </w:t>
            </w:r>
          </w:p>
          <w:p>
            <w:pPr>
              <w:pStyle w:val="TableParagraph"/>
              <w:spacing w:line="268" w:lineRule="exact"/>
              <w:rPr>
                <w:sz w:val="20"/>
                <w:szCs w:val="20"/>
              </w:rPr>
            </w:pPr>
          </w:p>
        </w:tc>
        <w:tc>
          <w:tcPr>
            <w:tcW w:w="3630" w:type="dxa"/>
            <w:shd w:val="clear" w:color="auto" w:fill="auto"/>
          </w:tcPr>
          <w:p>
            <w:pPr>
              <w:pStyle w:val="TableParagraph"/>
              <w:ind w:left="107" w:right="288"/>
              <w:rPr>
                <w:b/>
                <w:sz w:val="20"/>
                <w:szCs w:val="20"/>
              </w:rPr>
            </w:pPr>
            <w:r>
              <w:rPr>
                <w:b/>
                <w:sz w:val="20"/>
                <w:szCs w:val="20"/>
              </w:rPr>
              <w:t xml:space="preserve">B5: </w:t>
            </w:r>
            <w:r>
              <w:rPr>
                <w:sz w:val="20"/>
                <w:szCs w:val="20"/>
              </w:rPr>
              <w:t>Leaders to track and monitor catch up strategies closely looking at progress in each tracking period and continue refining practice to ensure learning gaps are closed in the most effective and timely manner</w:t>
            </w:r>
          </w:p>
        </w:tc>
        <w:tc>
          <w:tcPr>
            <w:tcW w:w="3629" w:type="dxa"/>
            <w:shd w:val="clear" w:color="auto" w:fill="auto"/>
          </w:tcPr>
          <w:p>
            <w:pPr>
              <w:pStyle w:val="TableParagraph"/>
              <w:ind w:right="282"/>
              <w:rPr>
                <w:sz w:val="20"/>
                <w:szCs w:val="20"/>
              </w:rPr>
            </w:pPr>
            <w:r>
              <w:rPr>
                <w:sz w:val="20"/>
                <w:szCs w:val="20"/>
              </w:rPr>
              <w:t>Quality teaching remains the single most effective strategy for closing the gaps. A focus on lesson observation, learning walk observations drop ins and mark scrutiny will help teachers to effectively narrowing the gap.</w:t>
            </w:r>
          </w:p>
          <w:p>
            <w:pPr>
              <w:pStyle w:val="TableParagraph"/>
              <w:ind w:right="282"/>
              <w:rPr>
                <w:sz w:val="20"/>
                <w:szCs w:val="20"/>
              </w:rPr>
            </w:pPr>
          </w:p>
          <w:p>
            <w:pPr>
              <w:pStyle w:val="TableParagraph"/>
              <w:ind w:right="282"/>
              <w:rPr>
                <w:sz w:val="20"/>
                <w:szCs w:val="20"/>
              </w:rPr>
            </w:pPr>
          </w:p>
          <w:p>
            <w:pPr>
              <w:pStyle w:val="TableParagraph"/>
              <w:ind w:right="282"/>
              <w:rPr>
                <w:sz w:val="20"/>
                <w:szCs w:val="20"/>
              </w:rPr>
            </w:pPr>
          </w:p>
        </w:tc>
        <w:tc>
          <w:tcPr>
            <w:tcW w:w="3634" w:type="dxa"/>
            <w:gridSpan w:val="3"/>
            <w:shd w:val="clear" w:color="auto" w:fill="auto"/>
          </w:tcPr>
          <w:p>
            <w:pPr>
              <w:pStyle w:val="TableParagraph"/>
              <w:spacing w:line="268" w:lineRule="exact"/>
              <w:ind w:left="126" w:right="116"/>
              <w:jc w:val="center"/>
              <w:rPr>
                <w:sz w:val="20"/>
                <w:szCs w:val="20"/>
              </w:rPr>
            </w:pPr>
            <w:r>
              <w:rPr>
                <w:sz w:val="20"/>
                <w:szCs w:val="20"/>
              </w:rPr>
              <w:t>£0</w:t>
            </w:r>
          </w:p>
        </w:tc>
      </w:tr>
      <w:tr>
        <w:trPr>
          <w:gridBefore w:val="1"/>
          <w:wBefore w:w="10" w:type="dxa"/>
          <w:trHeight w:val="928"/>
        </w:trPr>
        <w:tc>
          <w:tcPr>
            <w:tcW w:w="14522" w:type="dxa"/>
            <w:gridSpan w:val="7"/>
            <w:shd w:val="clear" w:color="auto" w:fill="D9E1F3"/>
          </w:tcPr>
          <w:p>
            <w:pPr>
              <w:pStyle w:val="Heading1"/>
              <w:rPr>
                <w:b/>
              </w:rPr>
            </w:pPr>
            <w:r>
              <w:rPr>
                <w:rFonts w:eastAsiaTheme="minorEastAsia"/>
                <w:b/>
                <w:bCs/>
                <w:color w:val="007B85"/>
                <w:w w:val="105"/>
              </w:rPr>
              <w:lastRenderedPageBreak/>
              <w:t>Targeted Strategies</w:t>
            </w:r>
          </w:p>
        </w:tc>
      </w:tr>
      <w:tr>
        <w:trPr>
          <w:gridAfter w:val="1"/>
          <w:wAfter w:w="10" w:type="dxa"/>
          <w:trHeight w:val="292"/>
        </w:trPr>
        <w:tc>
          <w:tcPr>
            <w:tcW w:w="3580" w:type="dxa"/>
            <w:gridSpan w:val="2"/>
          </w:tcPr>
          <w:p>
            <w:pPr>
              <w:pStyle w:val="TableParagraph"/>
              <w:spacing w:line="272" w:lineRule="exact"/>
              <w:rPr>
                <w:b/>
                <w:color w:val="79133E"/>
              </w:rPr>
            </w:pPr>
            <w:r>
              <w:rPr>
                <w:b/>
                <w:color w:val="79133E"/>
              </w:rPr>
              <w:t>Year Group</w:t>
            </w:r>
          </w:p>
        </w:tc>
        <w:tc>
          <w:tcPr>
            <w:tcW w:w="3689" w:type="dxa"/>
            <w:gridSpan w:val="2"/>
          </w:tcPr>
          <w:p>
            <w:pPr>
              <w:pStyle w:val="TableParagraph"/>
              <w:spacing w:line="272" w:lineRule="exact"/>
              <w:ind w:left="107"/>
              <w:rPr>
                <w:b/>
                <w:color w:val="79133E"/>
              </w:rPr>
            </w:pPr>
            <w:r>
              <w:rPr>
                <w:b/>
                <w:color w:val="79133E"/>
              </w:rPr>
              <w:t>Actions</w:t>
            </w:r>
          </w:p>
        </w:tc>
        <w:tc>
          <w:tcPr>
            <w:tcW w:w="3683" w:type="dxa"/>
            <w:gridSpan w:val="2"/>
          </w:tcPr>
          <w:p>
            <w:pPr>
              <w:pStyle w:val="TableParagraph"/>
              <w:spacing w:line="272" w:lineRule="exact"/>
              <w:rPr>
                <w:b/>
                <w:color w:val="79133E"/>
              </w:rPr>
            </w:pPr>
            <w:r>
              <w:rPr>
                <w:b/>
                <w:color w:val="79133E"/>
              </w:rPr>
              <w:t>Intended impact</w:t>
            </w:r>
          </w:p>
        </w:tc>
        <w:tc>
          <w:tcPr>
            <w:tcW w:w="3570" w:type="dxa"/>
          </w:tcPr>
          <w:p>
            <w:pPr>
              <w:pStyle w:val="TableParagraph"/>
              <w:spacing w:line="272" w:lineRule="exact"/>
              <w:ind w:left="124" w:right="116"/>
              <w:jc w:val="center"/>
              <w:rPr>
                <w:b/>
                <w:color w:val="79133E"/>
                <w:sz w:val="24"/>
              </w:rPr>
            </w:pPr>
            <w:r>
              <w:rPr>
                <w:b/>
                <w:color w:val="79133E"/>
                <w:sz w:val="24"/>
              </w:rPr>
              <w:t>Cost</w:t>
            </w:r>
          </w:p>
        </w:tc>
      </w:tr>
      <w:tr>
        <w:trPr>
          <w:gridAfter w:val="1"/>
          <w:wAfter w:w="10" w:type="dxa"/>
          <w:trHeight w:val="804"/>
        </w:trPr>
        <w:tc>
          <w:tcPr>
            <w:tcW w:w="3580" w:type="dxa"/>
            <w:gridSpan w:val="2"/>
          </w:tcPr>
          <w:p>
            <w:pPr>
              <w:pStyle w:val="TableParagraph"/>
              <w:spacing w:line="267" w:lineRule="exact"/>
              <w:rPr>
                <w:sz w:val="20"/>
                <w:szCs w:val="20"/>
              </w:rPr>
            </w:pPr>
            <w:r>
              <w:rPr>
                <w:sz w:val="20"/>
                <w:szCs w:val="20"/>
              </w:rPr>
              <w:t>7 8 9 10 11</w:t>
            </w:r>
          </w:p>
        </w:tc>
        <w:tc>
          <w:tcPr>
            <w:tcW w:w="3689" w:type="dxa"/>
            <w:gridSpan w:val="2"/>
          </w:tcPr>
          <w:p>
            <w:pPr>
              <w:pStyle w:val="TableParagraph"/>
              <w:spacing w:line="267" w:lineRule="exact"/>
              <w:ind w:left="107"/>
              <w:rPr>
                <w:sz w:val="20"/>
                <w:szCs w:val="20"/>
              </w:rPr>
            </w:pPr>
            <w:r>
              <w:rPr>
                <w:b/>
                <w:sz w:val="20"/>
                <w:szCs w:val="20"/>
              </w:rPr>
              <w:t xml:space="preserve">B11 B6 B12: </w:t>
            </w:r>
            <w:r>
              <w:rPr>
                <w:sz w:val="20"/>
                <w:szCs w:val="20"/>
              </w:rPr>
              <w:t>Initiate a coaching model</w:t>
            </w:r>
          </w:p>
        </w:tc>
        <w:tc>
          <w:tcPr>
            <w:tcW w:w="3683" w:type="dxa"/>
            <w:gridSpan w:val="2"/>
          </w:tcPr>
          <w:p>
            <w:pPr>
              <w:pStyle w:val="TableParagraph"/>
              <w:ind w:right="186"/>
              <w:rPr>
                <w:sz w:val="20"/>
                <w:szCs w:val="20"/>
              </w:rPr>
            </w:pPr>
            <w:r>
              <w:rPr>
                <w:sz w:val="20"/>
                <w:szCs w:val="20"/>
              </w:rPr>
              <w:t>This will allow students to receive 1:1 coaching to support students adjusting to new school routines and structures</w:t>
            </w:r>
          </w:p>
        </w:tc>
        <w:tc>
          <w:tcPr>
            <w:tcW w:w="3570" w:type="dxa"/>
          </w:tcPr>
          <w:p>
            <w:pPr>
              <w:pStyle w:val="TableParagraph"/>
              <w:spacing w:line="267" w:lineRule="exact"/>
              <w:ind w:left="127" w:right="116"/>
              <w:jc w:val="center"/>
            </w:pPr>
            <w:r>
              <w:t>£0</w:t>
            </w:r>
          </w:p>
        </w:tc>
      </w:tr>
      <w:tr>
        <w:trPr>
          <w:gridAfter w:val="1"/>
          <w:wAfter w:w="10" w:type="dxa"/>
          <w:trHeight w:val="534"/>
        </w:trPr>
        <w:tc>
          <w:tcPr>
            <w:tcW w:w="3580" w:type="dxa"/>
            <w:gridSpan w:val="2"/>
          </w:tcPr>
          <w:p>
            <w:pPr>
              <w:pStyle w:val="TableParagraph"/>
              <w:spacing w:line="268" w:lineRule="exact"/>
              <w:rPr>
                <w:sz w:val="20"/>
                <w:szCs w:val="20"/>
              </w:rPr>
            </w:pPr>
            <w:r>
              <w:rPr>
                <w:sz w:val="20"/>
                <w:szCs w:val="20"/>
              </w:rPr>
              <w:t>9, 10, 11</w:t>
            </w:r>
          </w:p>
        </w:tc>
        <w:tc>
          <w:tcPr>
            <w:tcW w:w="3689" w:type="dxa"/>
            <w:gridSpan w:val="2"/>
          </w:tcPr>
          <w:p>
            <w:pPr>
              <w:pStyle w:val="TableParagraph"/>
              <w:ind w:left="107" w:right="288"/>
              <w:rPr>
                <w:sz w:val="20"/>
                <w:szCs w:val="20"/>
              </w:rPr>
            </w:pPr>
            <w:r>
              <w:rPr>
                <w:b/>
                <w:sz w:val="20"/>
                <w:szCs w:val="20"/>
              </w:rPr>
              <w:t xml:space="preserve">B2: </w:t>
            </w:r>
            <w:r>
              <w:rPr>
                <w:sz w:val="20"/>
                <w:szCs w:val="20"/>
              </w:rPr>
              <w:t>Programme of support identified for targeted students in core subjects and optional subjects</w:t>
            </w:r>
          </w:p>
        </w:tc>
        <w:tc>
          <w:tcPr>
            <w:tcW w:w="3683" w:type="dxa"/>
            <w:gridSpan w:val="2"/>
          </w:tcPr>
          <w:p>
            <w:pPr>
              <w:pStyle w:val="TableParagraph"/>
              <w:ind w:right="282"/>
              <w:rPr>
                <w:sz w:val="20"/>
                <w:szCs w:val="20"/>
              </w:rPr>
            </w:pPr>
            <w:r>
              <w:rPr>
                <w:sz w:val="20"/>
                <w:szCs w:val="20"/>
              </w:rPr>
              <w:t>Recruitment of Additional Learning Tutors to support in core subjects offering 1:1 tuition and Teacher supervision</w:t>
            </w:r>
          </w:p>
        </w:tc>
        <w:tc>
          <w:tcPr>
            <w:tcW w:w="3570" w:type="dxa"/>
          </w:tcPr>
          <w:p>
            <w:pPr>
              <w:pStyle w:val="TableParagraph"/>
              <w:spacing w:line="268" w:lineRule="exact"/>
              <w:ind w:left="105"/>
              <w:jc w:val="center"/>
              <w:rPr>
                <w:b/>
                <w:bCs/>
              </w:rPr>
            </w:pPr>
            <w:r>
              <w:rPr>
                <w:b/>
                <w:bCs/>
                <w:color w:val="79133E"/>
              </w:rPr>
              <w:t>£15,201</w:t>
            </w:r>
          </w:p>
        </w:tc>
      </w:tr>
      <w:tr>
        <w:trPr>
          <w:gridAfter w:val="1"/>
          <w:wAfter w:w="10" w:type="dxa"/>
          <w:trHeight w:val="806"/>
        </w:trPr>
        <w:tc>
          <w:tcPr>
            <w:tcW w:w="3580" w:type="dxa"/>
            <w:gridSpan w:val="2"/>
          </w:tcPr>
          <w:p>
            <w:pPr>
              <w:pStyle w:val="TableParagraph"/>
              <w:spacing w:line="268" w:lineRule="exact"/>
              <w:rPr>
                <w:sz w:val="20"/>
                <w:szCs w:val="20"/>
              </w:rPr>
            </w:pPr>
            <w:r>
              <w:rPr>
                <w:sz w:val="20"/>
                <w:szCs w:val="20"/>
              </w:rPr>
              <w:t>9, 10, 11</w:t>
            </w:r>
          </w:p>
        </w:tc>
        <w:tc>
          <w:tcPr>
            <w:tcW w:w="3689" w:type="dxa"/>
            <w:gridSpan w:val="2"/>
          </w:tcPr>
          <w:p>
            <w:pPr>
              <w:pStyle w:val="TableParagraph"/>
              <w:ind w:left="107" w:right="288"/>
              <w:rPr>
                <w:sz w:val="20"/>
                <w:szCs w:val="20"/>
              </w:rPr>
            </w:pPr>
            <w:r>
              <w:rPr>
                <w:b/>
                <w:sz w:val="20"/>
                <w:szCs w:val="20"/>
              </w:rPr>
              <w:t xml:space="preserve">B2: </w:t>
            </w:r>
            <w:r>
              <w:rPr>
                <w:sz w:val="20"/>
                <w:szCs w:val="20"/>
              </w:rPr>
              <w:t>Programme of support identified for targeted students in optional subjects</w:t>
            </w:r>
          </w:p>
        </w:tc>
        <w:tc>
          <w:tcPr>
            <w:tcW w:w="3683" w:type="dxa"/>
            <w:gridSpan w:val="2"/>
          </w:tcPr>
          <w:p>
            <w:pPr>
              <w:pStyle w:val="TableParagraph"/>
              <w:ind w:right="282"/>
              <w:rPr>
                <w:sz w:val="20"/>
                <w:szCs w:val="20"/>
              </w:rPr>
            </w:pPr>
            <w:r>
              <w:rPr>
                <w:sz w:val="20"/>
                <w:szCs w:val="20"/>
              </w:rPr>
              <w:t>Deployment of Learning champions to support targeted in optional subjects offering 1:1 or group support</w:t>
            </w:r>
          </w:p>
        </w:tc>
        <w:tc>
          <w:tcPr>
            <w:tcW w:w="3570" w:type="dxa"/>
          </w:tcPr>
          <w:p>
            <w:pPr>
              <w:pStyle w:val="TableParagraph"/>
              <w:spacing w:before="1"/>
              <w:ind w:left="0" w:right="406"/>
              <w:jc w:val="center"/>
            </w:pPr>
            <w:r>
              <w:t xml:space="preserve">          £0</w:t>
            </w:r>
          </w:p>
        </w:tc>
      </w:tr>
      <w:tr>
        <w:trPr>
          <w:gridAfter w:val="1"/>
          <w:wAfter w:w="10" w:type="dxa"/>
          <w:trHeight w:val="806"/>
        </w:trPr>
        <w:tc>
          <w:tcPr>
            <w:tcW w:w="3580" w:type="dxa"/>
            <w:gridSpan w:val="2"/>
          </w:tcPr>
          <w:p>
            <w:pPr>
              <w:pStyle w:val="TableParagraph"/>
              <w:spacing w:line="268" w:lineRule="exact"/>
              <w:rPr>
                <w:sz w:val="20"/>
                <w:szCs w:val="20"/>
              </w:rPr>
            </w:pPr>
            <w:r>
              <w:rPr>
                <w:sz w:val="20"/>
                <w:szCs w:val="20"/>
              </w:rPr>
              <w:t xml:space="preserve">9, 10, 11 </w:t>
            </w:r>
          </w:p>
          <w:p>
            <w:pPr>
              <w:pStyle w:val="TableParagraph"/>
              <w:spacing w:line="268" w:lineRule="exact"/>
              <w:rPr>
                <w:sz w:val="20"/>
                <w:szCs w:val="20"/>
              </w:rPr>
            </w:pPr>
          </w:p>
        </w:tc>
        <w:tc>
          <w:tcPr>
            <w:tcW w:w="3689" w:type="dxa"/>
            <w:gridSpan w:val="2"/>
          </w:tcPr>
          <w:p>
            <w:pPr>
              <w:pStyle w:val="Default"/>
              <w:rPr>
                <w:b/>
                <w:bCs/>
                <w:sz w:val="20"/>
                <w:szCs w:val="20"/>
              </w:rPr>
            </w:pPr>
            <w:r>
              <w:rPr>
                <w:b/>
                <w:bCs/>
                <w:sz w:val="20"/>
                <w:szCs w:val="20"/>
              </w:rPr>
              <w:t xml:space="preserve">B12 B6 </w:t>
            </w:r>
            <w:r>
              <w:rPr>
                <w:rFonts w:eastAsia="Calibri"/>
                <w:color w:val="auto"/>
                <w:sz w:val="20"/>
                <w:szCs w:val="20"/>
                <w:lang w:eastAsia="en-GB" w:bidi="en-GB"/>
              </w:rPr>
              <w:t xml:space="preserve">Individual interventions for children/young people including therapeutic interventions </w:t>
            </w:r>
          </w:p>
        </w:tc>
        <w:tc>
          <w:tcPr>
            <w:tcW w:w="3683" w:type="dxa"/>
            <w:gridSpan w:val="2"/>
          </w:tcPr>
          <w:p>
            <w:pPr>
              <w:pStyle w:val="TableParagraph"/>
              <w:ind w:right="282"/>
              <w:rPr>
                <w:sz w:val="20"/>
                <w:szCs w:val="20"/>
              </w:rPr>
            </w:pPr>
            <w:r>
              <w:rPr>
                <w:sz w:val="20"/>
                <w:szCs w:val="20"/>
              </w:rPr>
              <w:t>Procurement of Educational Psychology Support</w:t>
            </w:r>
          </w:p>
        </w:tc>
        <w:tc>
          <w:tcPr>
            <w:tcW w:w="3570" w:type="dxa"/>
          </w:tcPr>
          <w:p>
            <w:pPr>
              <w:pStyle w:val="TableParagraph"/>
              <w:spacing w:line="268" w:lineRule="exact"/>
              <w:ind w:left="105"/>
              <w:jc w:val="center"/>
            </w:pPr>
            <w:r>
              <w:rPr>
                <w:b/>
                <w:bCs/>
                <w:color w:val="79133E"/>
              </w:rPr>
              <w:t>£1,150</w:t>
            </w:r>
          </w:p>
        </w:tc>
      </w:tr>
      <w:tr>
        <w:trPr>
          <w:gridAfter w:val="1"/>
          <w:wAfter w:w="10" w:type="dxa"/>
          <w:trHeight w:val="806"/>
        </w:trPr>
        <w:tc>
          <w:tcPr>
            <w:tcW w:w="3580" w:type="dxa"/>
            <w:gridSpan w:val="2"/>
          </w:tcPr>
          <w:p>
            <w:pPr>
              <w:pStyle w:val="TableParagraph"/>
              <w:spacing w:line="268" w:lineRule="exact"/>
              <w:rPr>
                <w:sz w:val="20"/>
                <w:szCs w:val="20"/>
              </w:rPr>
            </w:pPr>
            <w:r>
              <w:rPr>
                <w:sz w:val="20"/>
                <w:szCs w:val="20"/>
              </w:rPr>
              <w:t xml:space="preserve">7, 8, 9, 10, 11 </w:t>
            </w:r>
          </w:p>
          <w:p>
            <w:pPr>
              <w:pStyle w:val="TableParagraph"/>
              <w:spacing w:line="268" w:lineRule="exact"/>
              <w:rPr>
                <w:sz w:val="20"/>
                <w:szCs w:val="20"/>
              </w:rPr>
            </w:pPr>
          </w:p>
        </w:tc>
        <w:tc>
          <w:tcPr>
            <w:tcW w:w="3689" w:type="dxa"/>
            <w:gridSpan w:val="2"/>
          </w:tcPr>
          <w:p>
            <w:pPr>
              <w:pStyle w:val="TableParagraph"/>
              <w:ind w:left="0" w:right="288"/>
              <w:rPr>
                <w:sz w:val="20"/>
                <w:szCs w:val="20"/>
              </w:rPr>
            </w:pPr>
            <w:r>
              <w:rPr>
                <w:b/>
                <w:bCs/>
                <w:sz w:val="20"/>
                <w:szCs w:val="20"/>
              </w:rPr>
              <w:t xml:space="preserve">B6, B12: </w:t>
            </w:r>
            <w:r>
              <w:rPr>
                <w:sz w:val="20"/>
                <w:szCs w:val="20"/>
              </w:rPr>
              <w:t xml:space="preserve">PSHRE, Tutor time and assemblies for </w:t>
            </w:r>
          </w:p>
        </w:tc>
        <w:tc>
          <w:tcPr>
            <w:tcW w:w="3683" w:type="dxa"/>
            <w:gridSpan w:val="2"/>
          </w:tcPr>
          <w:p>
            <w:pPr>
              <w:pStyle w:val="TableParagraph"/>
              <w:ind w:right="282"/>
              <w:rPr>
                <w:sz w:val="20"/>
                <w:szCs w:val="20"/>
              </w:rPr>
            </w:pPr>
            <w:r>
              <w:rPr>
                <w:sz w:val="20"/>
                <w:szCs w:val="20"/>
              </w:rPr>
              <w:t xml:space="preserve">Additional opportunity to support social emotional wellbeing </w:t>
            </w:r>
          </w:p>
        </w:tc>
        <w:tc>
          <w:tcPr>
            <w:tcW w:w="3570" w:type="dxa"/>
          </w:tcPr>
          <w:p>
            <w:pPr>
              <w:pStyle w:val="TableParagraph"/>
              <w:spacing w:line="268" w:lineRule="exact"/>
              <w:ind w:left="126" w:right="116"/>
              <w:jc w:val="center"/>
            </w:pPr>
            <w:r>
              <w:t>£0</w:t>
            </w:r>
          </w:p>
        </w:tc>
      </w:tr>
    </w:tbl>
    <w:p/>
    <w:tbl>
      <w:tblPr>
        <w:tblW w:w="14522"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81"/>
        <w:gridCol w:w="3685"/>
        <w:gridCol w:w="3686"/>
        <w:gridCol w:w="3570"/>
      </w:tblGrid>
      <w:tr>
        <w:trPr>
          <w:trHeight w:val="928"/>
        </w:trPr>
        <w:tc>
          <w:tcPr>
            <w:tcW w:w="14522" w:type="dxa"/>
            <w:gridSpan w:val="4"/>
            <w:shd w:val="clear" w:color="auto" w:fill="D9E1F3"/>
          </w:tcPr>
          <w:p>
            <w:pPr>
              <w:pStyle w:val="Heading1"/>
              <w:rPr>
                <w:b/>
              </w:rPr>
            </w:pPr>
            <w:r>
              <w:rPr>
                <w:rFonts w:eastAsiaTheme="minorEastAsia"/>
                <w:b/>
                <w:bCs/>
                <w:color w:val="007B85"/>
                <w:w w:val="105"/>
              </w:rPr>
              <w:t>Wider Strategies</w:t>
            </w:r>
          </w:p>
        </w:tc>
      </w:tr>
      <w:tr>
        <w:trPr>
          <w:trHeight w:val="292"/>
        </w:trPr>
        <w:tc>
          <w:tcPr>
            <w:tcW w:w="3581" w:type="dxa"/>
          </w:tcPr>
          <w:p>
            <w:pPr>
              <w:pStyle w:val="TableParagraph"/>
              <w:spacing w:line="272" w:lineRule="exact"/>
              <w:rPr>
                <w:b/>
                <w:color w:val="79133E"/>
                <w:sz w:val="24"/>
              </w:rPr>
            </w:pPr>
            <w:r>
              <w:rPr>
                <w:b/>
                <w:color w:val="79133E"/>
                <w:sz w:val="24"/>
              </w:rPr>
              <w:t>Year Group</w:t>
            </w:r>
          </w:p>
        </w:tc>
        <w:tc>
          <w:tcPr>
            <w:tcW w:w="3685" w:type="dxa"/>
          </w:tcPr>
          <w:p>
            <w:pPr>
              <w:pStyle w:val="TableParagraph"/>
              <w:spacing w:line="272" w:lineRule="exact"/>
              <w:ind w:left="107"/>
              <w:rPr>
                <w:b/>
                <w:color w:val="79133E"/>
                <w:sz w:val="24"/>
              </w:rPr>
            </w:pPr>
            <w:r>
              <w:rPr>
                <w:b/>
                <w:color w:val="79133E"/>
                <w:sz w:val="24"/>
              </w:rPr>
              <w:t>Actions</w:t>
            </w:r>
          </w:p>
        </w:tc>
        <w:tc>
          <w:tcPr>
            <w:tcW w:w="3686" w:type="dxa"/>
          </w:tcPr>
          <w:p>
            <w:pPr>
              <w:pStyle w:val="TableParagraph"/>
              <w:spacing w:line="272" w:lineRule="exact"/>
              <w:rPr>
                <w:b/>
                <w:color w:val="79133E"/>
                <w:sz w:val="24"/>
              </w:rPr>
            </w:pPr>
            <w:r>
              <w:rPr>
                <w:b/>
                <w:color w:val="79133E"/>
                <w:sz w:val="24"/>
              </w:rPr>
              <w:t>Intended impact</w:t>
            </w:r>
          </w:p>
        </w:tc>
        <w:tc>
          <w:tcPr>
            <w:tcW w:w="3570" w:type="dxa"/>
          </w:tcPr>
          <w:p>
            <w:pPr>
              <w:pStyle w:val="TableParagraph"/>
              <w:spacing w:line="272" w:lineRule="exact"/>
              <w:ind w:left="124" w:right="116"/>
              <w:jc w:val="center"/>
              <w:rPr>
                <w:b/>
                <w:color w:val="79133E"/>
                <w:sz w:val="24"/>
              </w:rPr>
            </w:pPr>
            <w:r>
              <w:rPr>
                <w:b/>
                <w:color w:val="79133E"/>
                <w:sz w:val="24"/>
              </w:rPr>
              <w:t>Cost</w:t>
            </w:r>
          </w:p>
        </w:tc>
      </w:tr>
      <w:tr>
        <w:trPr>
          <w:trHeight w:val="1975"/>
        </w:trPr>
        <w:tc>
          <w:tcPr>
            <w:tcW w:w="3581" w:type="dxa"/>
          </w:tcPr>
          <w:p>
            <w:pPr>
              <w:pStyle w:val="TableParagraph"/>
              <w:ind w:left="0"/>
              <w:rPr>
                <w:rFonts w:ascii="Times New Roman"/>
                <w:sz w:val="20"/>
                <w:szCs w:val="20"/>
              </w:rPr>
            </w:pPr>
            <w:r>
              <w:rPr>
                <w:sz w:val="20"/>
                <w:szCs w:val="20"/>
              </w:rPr>
              <w:lastRenderedPageBreak/>
              <w:t>7 8 9 10 11</w:t>
            </w:r>
          </w:p>
        </w:tc>
        <w:tc>
          <w:tcPr>
            <w:tcW w:w="3685" w:type="dxa"/>
          </w:tcPr>
          <w:p>
            <w:pPr>
              <w:pStyle w:val="TableParagraph"/>
              <w:spacing w:before="6"/>
              <w:ind w:left="0"/>
              <w:rPr>
                <w:b/>
                <w:sz w:val="20"/>
                <w:szCs w:val="20"/>
              </w:rPr>
            </w:pPr>
          </w:p>
          <w:p>
            <w:pPr>
              <w:pStyle w:val="TableParagraph"/>
              <w:ind w:left="107" w:right="93"/>
              <w:jc w:val="both"/>
              <w:rPr>
                <w:sz w:val="20"/>
                <w:szCs w:val="20"/>
              </w:rPr>
            </w:pPr>
            <w:r>
              <w:rPr>
                <w:b/>
                <w:sz w:val="20"/>
                <w:szCs w:val="20"/>
              </w:rPr>
              <w:t xml:space="preserve">B10: </w:t>
            </w:r>
            <w:r>
              <w:rPr>
                <w:sz w:val="20"/>
                <w:szCs w:val="20"/>
              </w:rPr>
              <w:t xml:space="preserve">Incentivise improvements in attendance for students and parents. </w:t>
            </w:r>
          </w:p>
        </w:tc>
        <w:tc>
          <w:tcPr>
            <w:tcW w:w="3686" w:type="dxa"/>
          </w:tcPr>
          <w:p>
            <w:pPr>
              <w:pStyle w:val="TableParagraph"/>
              <w:ind w:right="93"/>
              <w:jc w:val="both"/>
              <w:rPr>
                <w:spacing w:val="-14"/>
                <w:sz w:val="20"/>
                <w:szCs w:val="20"/>
              </w:rPr>
            </w:pPr>
            <w:r>
              <w:rPr>
                <w:sz w:val="20"/>
                <w:szCs w:val="20"/>
              </w:rPr>
              <w:t>This will encourage students to attend and parent co-operation with attendance and could lead to an improvement</w:t>
            </w:r>
            <w:r>
              <w:rPr>
                <w:spacing w:val="-13"/>
                <w:sz w:val="20"/>
                <w:szCs w:val="20"/>
              </w:rPr>
              <w:t xml:space="preserve"> </w:t>
            </w:r>
            <w:r>
              <w:rPr>
                <w:sz w:val="20"/>
                <w:szCs w:val="20"/>
              </w:rPr>
              <w:t>in</w:t>
            </w:r>
            <w:r>
              <w:rPr>
                <w:spacing w:val="-14"/>
                <w:sz w:val="20"/>
                <w:szCs w:val="20"/>
              </w:rPr>
              <w:t xml:space="preserve"> </w:t>
            </w:r>
            <w:r>
              <w:rPr>
                <w:sz w:val="20"/>
                <w:szCs w:val="20"/>
              </w:rPr>
              <w:t>attendance</w:t>
            </w:r>
            <w:r>
              <w:rPr>
                <w:spacing w:val="-12"/>
                <w:sz w:val="20"/>
                <w:szCs w:val="20"/>
              </w:rPr>
              <w:t xml:space="preserve"> </w:t>
            </w:r>
            <w:r>
              <w:rPr>
                <w:sz w:val="20"/>
                <w:szCs w:val="20"/>
              </w:rPr>
              <w:t>figures.</w:t>
            </w:r>
            <w:r>
              <w:rPr>
                <w:spacing w:val="-14"/>
                <w:sz w:val="20"/>
                <w:szCs w:val="20"/>
              </w:rPr>
              <w:t xml:space="preserve"> </w:t>
            </w:r>
          </w:p>
          <w:p>
            <w:pPr>
              <w:pStyle w:val="TableParagraph"/>
              <w:ind w:right="93"/>
              <w:jc w:val="both"/>
              <w:rPr>
                <w:spacing w:val="-14"/>
                <w:sz w:val="20"/>
                <w:szCs w:val="20"/>
              </w:rPr>
            </w:pPr>
          </w:p>
          <w:p>
            <w:pPr>
              <w:pStyle w:val="TableParagraph"/>
              <w:ind w:right="93"/>
              <w:jc w:val="both"/>
              <w:rPr>
                <w:sz w:val="20"/>
                <w:szCs w:val="20"/>
              </w:rPr>
            </w:pPr>
            <w:proofErr w:type="gramStart"/>
            <w:r>
              <w:rPr>
                <w:sz w:val="20"/>
                <w:szCs w:val="20"/>
              </w:rPr>
              <w:t>Also</w:t>
            </w:r>
            <w:proofErr w:type="gramEnd"/>
            <w:r>
              <w:rPr>
                <w:spacing w:val="-12"/>
                <w:sz w:val="20"/>
                <w:szCs w:val="20"/>
              </w:rPr>
              <w:t xml:space="preserve"> </w:t>
            </w:r>
            <w:r>
              <w:rPr>
                <w:sz w:val="20"/>
                <w:szCs w:val="20"/>
              </w:rPr>
              <w:t>if</w:t>
            </w:r>
            <w:r>
              <w:rPr>
                <w:spacing w:val="-13"/>
                <w:sz w:val="20"/>
                <w:szCs w:val="20"/>
              </w:rPr>
              <w:t xml:space="preserve"> </w:t>
            </w:r>
            <w:r>
              <w:rPr>
                <w:sz w:val="20"/>
                <w:szCs w:val="20"/>
              </w:rPr>
              <w:t>parents</w:t>
            </w:r>
            <w:r>
              <w:rPr>
                <w:spacing w:val="-14"/>
                <w:sz w:val="20"/>
                <w:szCs w:val="20"/>
              </w:rPr>
              <w:t xml:space="preserve"> </w:t>
            </w:r>
            <w:r>
              <w:rPr>
                <w:sz w:val="20"/>
                <w:szCs w:val="20"/>
              </w:rPr>
              <w:t>know they can get free uniform and breakfast this will encourage attendance/positive start to school for our parents who have no</w:t>
            </w:r>
            <w:r>
              <w:rPr>
                <w:spacing w:val="-1"/>
                <w:sz w:val="20"/>
                <w:szCs w:val="20"/>
              </w:rPr>
              <w:t xml:space="preserve"> </w:t>
            </w:r>
            <w:r>
              <w:rPr>
                <w:sz w:val="20"/>
                <w:szCs w:val="20"/>
              </w:rPr>
              <w:t>money</w:t>
            </w:r>
          </w:p>
        </w:tc>
        <w:tc>
          <w:tcPr>
            <w:tcW w:w="3570" w:type="dxa"/>
          </w:tcPr>
          <w:p>
            <w:pPr>
              <w:pStyle w:val="TableParagraph"/>
              <w:spacing w:line="268" w:lineRule="exact"/>
              <w:ind w:left="127" w:right="116"/>
              <w:jc w:val="center"/>
              <w:rPr>
                <w:sz w:val="20"/>
                <w:szCs w:val="20"/>
              </w:rPr>
            </w:pPr>
            <w:r>
              <w:rPr>
                <w:sz w:val="20"/>
                <w:szCs w:val="20"/>
              </w:rPr>
              <w:t>Access to Magic Breakfast Funding</w:t>
            </w:r>
          </w:p>
        </w:tc>
      </w:tr>
      <w:tr>
        <w:trPr>
          <w:trHeight w:val="1610"/>
        </w:trPr>
        <w:tc>
          <w:tcPr>
            <w:tcW w:w="3581" w:type="dxa"/>
          </w:tcPr>
          <w:p>
            <w:pPr>
              <w:pStyle w:val="TableParagraph"/>
              <w:ind w:left="0"/>
              <w:rPr>
                <w:rFonts w:ascii="Times New Roman"/>
                <w:sz w:val="20"/>
                <w:szCs w:val="20"/>
              </w:rPr>
            </w:pPr>
            <w:r>
              <w:rPr>
                <w:sz w:val="20"/>
                <w:szCs w:val="20"/>
              </w:rPr>
              <w:t>7 8 9 10 11</w:t>
            </w:r>
          </w:p>
        </w:tc>
        <w:tc>
          <w:tcPr>
            <w:tcW w:w="3685" w:type="dxa"/>
          </w:tcPr>
          <w:p>
            <w:pPr>
              <w:pStyle w:val="TableParagraph"/>
              <w:spacing w:line="268" w:lineRule="exact"/>
              <w:ind w:left="107"/>
              <w:rPr>
                <w:sz w:val="20"/>
                <w:szCs w:val="20"/>
              </w:rPr>
            </w:pPr>
            <w:r>
              <w:rPr>
                <w:b/>
                <w:sz w:val="20"/>
                <w:szCs w:val="20"/>
              </w:rPr>
              <w:t xml:space="preserve">B11: </w:t>
            </w:r>
            <w:r>
              <w:rPr>
                <w:sz w:val="20"/>
                <w:szCs w:val="20"/>
              </w:rPr>
              <w:t>Pay for additional counselling time</w:t>
            </w:r>
          </w:p>
        </w:tc>
        <w:tc>
          <w:tcPr>
            <w:tcW w:w="3686" w:type="dxa"/>
          </w:tcPr>
          <w:p>
            <w:pPr>
              <w:pStyle w:val="TableParagraph"/>
              <w:ind w:right="116"/>
              <w:rPr>
                <w:sz w:val="20"/>
                <w:szCs w:val="20"/>
              </w:rPr>
            </w:pPr>
            <w:r>
              <w:rPr>
                <w:sz w:val="20"/>
                <w:szCs w:val="20"/>
              </w:rPr>
              <w:t>Having additional counselling or the provision will allow for more children to have access to specialist advice and guidance over their worries centred around post lock down routines and anxieties. This will have an overall impact on well-being which will lead to a</w:t>
            </w:r>
            <w:r>
              <w:rPr>
                <w:spacing w:val="-10"/>
                <w:sz w:val="20"/>
                <w:szCs w:val="20"/>
              </w:rPr>
              <w:t xml:space="preserve"> </w:t>
            </w:r>
            <w:r>
              <w:rPr>
                <w:sz w:val="20"/>
                <w:szCs w:val="20"/>
              </w:rPr>
              <w:t>more</w:t>
            </w:r>
          </w:p>
          <w:p>
            <w:pPr>
              <w:pStyle w:val="TableParagraph"/>
              <w:spacing w:line="248" w:lineRule="exact"/>
              <w:rPr>
                <w:sz w:val="20"/>
                <w:szCs w:val="20"/>
              </w:rPr>
            </w:pPr>
            <w:r>
              <w:rPr>
                <w:sz w:val="20"/>
                <w:szCs w:val="20"/>
              </w:rPr>
              <w:t>positive outlook in lessons and around school.</w:t>
            </w:r>
          </w:p>
        </w:tc>
        <w:tc>
          <w:tcPr>
            <w:tcW w:w="3570" w:type="dxa"/>
          </w:tcPr>
          <w:p>
            <w:pPr>
              <w:pStyle w:val="TableParagraph"/>
              <w:spacing w:line="268" w:lineRule="exact"/>
              <w:ind w:left="122" w:right="116"/>
              <w:jc w:val="center"/>
              <w:rPr>
                <w:sz w:val="20"/>
                <w:szCs w:val="20"/>
              </w:rPr>
            </w:pPr>
            <w:r>
              <w:rPr>
                <w:sz w:val="20"/>
                <w:szCs w:val="20"/>
              </w:rPr>
              <w:t xml:space="preserve">Counselling costs </w:t>
            </w:r>
          </w:p>
          <w:p>
            <w:pPr>
              <w:pStyle w:val="TableParagraph"/>
              <w:spacing w:line="268" w:lineRule="exact"/>
              <w:ind w:left="122" w:right="116"/>
              <w:jc w:val="center"/>
              <w:rPr>
                <w:sz w:val="20"/>
                <w:szCs w:val="20"/>
              </w:rPr>
            </w:pPr>
            <w:r>
              <w:rPr>
                <w:sz w:val="20"/>
                <w:szCs w:val="20"/>
              </w:rPr>
              <w:t>£</w:t>
            </w:r>
            <w:r>
              <w:rPr>
                <w:color w:val="000000" w:themeColor="text1"/>
                <w:sz w:val="20"/>
                <w:szCs w:val="20"/>
              </w:rPr>
              <w:t>6000*</w:t>
            </w:r>
            <w:r>
              <w:rPr>
                <w:sz w:val="20"/>
                <w:szCs w:val="20"/>
              </w:rPr>
              <w:t xml:space="preserve"> in school budget</w:t>
            </w:r>
          </w:p>
          <w:p>
            <w:pPr>
              <w:pStyle w:val="TableParagraph"/>
              <w:spacing w:line="268" w:lineRule="exact"/>
              <w:ind w:left="122" w:right="116"/>
              <w:jc w:val="center"/>
              <w:rPr>
                <w:sz w:val="20"/>
                <w:szCs w:val="20"/>
              </w:rPr>
            </w:pPr>
          </w:p>
          <w:p>
            <w:pPr>
              <w:pStyle w:val="TableParagraph"/>
              <w:spacing w:line="268" w:lineRule="exact"/>
              <w:ind w:left="122" w:right="116"/>
              <w:jc w:val="center"/>
              <w:rPr>
                <w:sz w:val="20"/>
                <w:szCs w:val="20"/>
              </w:rPr>
            </w:pPr>
            <w:r>
              <w:rPr>
                <w:sz w:val="20"/>
                <w:szCs w:val="20"/>
              </w:rPr>
              <w:t xml:space="preserve">Counselling costs </w:t>
            </w:r>
            <w:r>
              <w:rPr>
                <w:b/>
                <w:bCs/>
                <w:color w:val="79133E"/>
              </w:rPr>
              <w:t>£5,729</w:t>
            </w:r>
          </w:p>
          <w:p>
            <w:pPr>
              <w:pStyle w:val="TableParagraph"/>
              <w:spacing w:line="268" w:lineRule="exact"/>
              <w:ind w:left="122" w:right="116"/>
              <w:jc w:val="center"/>
              <w:rPr>
                <w:sz w:val="20"/>
                <w:szCs w:val="20"/>
              </w:rPr>
            </w:pPr>
            <w:r>
              <w:rPr>
                <w:sz w:val="20"/>
                <w:szCs w:val="20"/>
              </w:rPr>
              <w:t xml:space="preserve"> from Catch up Funding</w:t>
            </w:r>
          </w:p>
          <w:p>
            <w:pPr>
              <w:pStyle w:val="TableParagraph"/>
              <w:spacing w:line="268" w:lineRule="exact"/>
              <w:ind w:left="122" w:right="116"/>
              <w:jc w:val="center"/>
              <w:rPr>
                <w:sz w:val="20"/>
                <w:szCs w:val="20"/>
              </w:rPr>
            </w:pPr>
          </w:p>
        </w:tc>
      </w:tr>
      <w:tr>
        <w:trPr>
          <w:trHeight w:val="1074"/>
        </w:trPr>
        <w:tc>
          <w:tcPr>
            <w:tcW w:w="3581" w:type="dxa"/>
          </w:tcPr>
          <w:p>
            <w:pPr>
              <w:pStyle w:val="TableParagraph"/>
              <w:spacing w:line="268" w:lineRule="exact"/>
              <w:rPr>
                <w:sz w:val="20"/>
                <w:szCs w:val="20"/>
              </w:rPr>
            </w:pPr>
            <w:r>
              <w:rPr>
                <w:sz w:val="20"/>
                <w:szCs w:val="20"/>
              </w:rPr>
              <w:t>7 8 9 10 11</w:t>
            </w:r>
          </w:p>
        </w:tc>
        <w:tc>
          <w:tcPr>
            <w:tcW w:w="3685" w:type="dxa"/>
          </w:tcPr>
          <w:p>
            <w:pPr>
              <w:pStyle w:val="TableParagraph"/>
              <w:ind w:left="107" w:right="450"/>
              <w:rPr>
                <w:sz w:val="20"/>
                <w:szCs w:val="20"/>
              </w:rPr>
            </w:pPr>
            <w:r>
              <w:rPr>
                <w:b/>
                <w:sz w:val="20"/>
                <w:szCs w:val="20"/>
              </w:rPr>
              <w:t xml:space="preserve">B3: </w:t>
            </w:r>
            <w:r>
              <w:rPr>
                <w:sz w:val="20"/>
                <w:szCs w:val="20"/>
              </w:rPr>
              <w:t>Ensure that the home learning offer is updated and made available to all parents in the event of a student absence for self- isolation and/or local lockdown</w:t>
            </w:r>
          </w:p>
        </w:tc>
        <w:tc>
          <w:tcPr>
            <w:tcW w:w="3686" w:type="dxa"/>
          </w:tcPr>
          <w:p>
            <w:pPr>
              <w:pStyle w:val="TableParagraph"/>
              <w:ind w:right="254"/>
              <w:rPr>
                <w:sz w:val="20"/>
                <w:szCs w:val="20"/>
              </w:rPr>
            </w:pPr>
            <w:r>
              <w:rPr>
                <w:sz w:val="20"/>
                <w:szCs w:val="20"/>
              </w:rPr>
              <w:t>The process of accessing online learning resources is easy to do and is bespoke for each subject in all years. The use of Oak Academy resources is key here</w:t>
            </w:r>
          </w:p>
        </w:tc>
        <w:tc>
          <w:tcPr>
            <w:tcW w:w="3570" w:type="dxa"/>
          </w:tcPr>
          <w:p>
            <w:pPr>
              <w:pStyle w:val="TableParagraph"/>
              <w:spacing w:line="268" w:lineRule="exact"/>
              <w:ind w:left="126" w:right="116"/>
              <w:jc w:val="center"/>
              <w:rPr>
                <w:sz w:val="20"/>
                <w:szCs w:val="20"/>
              </w:rPr>
            </w:pPr>
            <w:r>
              <w:rPr>
                <w:sz w:val="20"/>
                <w:szCs w:val="20"/>
              </w:rPr>
              <w:t>£0</w:t>
            </w:r>
          </w:p>
        </w:tc>
      </w:tr>
      <w:tr>
        <w:trPr>
          <w:trHeight w:val="1879"/>
        </w:trPr>
        <w:tc>
          <w:tcPr>
            <w:tcW w:w="3581" w:type="dxa"/>
          </w:tcPr>
          <w:p>
            <w:pPr>
              <w:pStyle w:val="TableParagraph"/>
              <w:spacing w:line="268" w:lineRule="exact"/>
              <w:rPr>
                <w:sz w:val="20"/>
                <w:szCs w:val="20"/>
              </w:rPr>
            </w:pPr>
            <w:r>
              <w:rPr>
                <w:sz w:val="20"/>
                <w:szCs w:val="20"/>
              </w:rPr>
              <w:t>7 8 9 10 11</w:t>
            </w:r>
          </w:p>
        </w:tc>
        <w:tc>
          <w:tcPr>
            <w:tcW w:w="3685" w:type="dxa"/>
          </w:tcPr>
          <w:p>
            <w:pPr>
              <w:pStyle w:val="TableParagraph"/>
              <w:spacing w:line="268" w:lineRule="exact"/>
              <w:ind w:left="107"/>
              <w:rPr>
                <w:sz w:val="20"/>
                <w:szCs w:val="20"/>
              </w:rPr>
            </w:pPr>
            <w:r>
              <w:rPr>
                <w:b/>
                <w:sz w:val="20"/>
                <w:szCs w:val="20"/>
              </w:rPr>
              <w:t xml:space="preserve">B13: </w:t>
            </w:r>
            <w:r>
              <w:rPr>
                <w:sz w:val="20"/>
                <w:szCs w:val="20"/>
              </w:rPr>
              <w:t>A new system in place for parents evening in 20/21 to ensure regular dialect between the home and school regarding academic performance</w:t>
            </w:r>
          </w:p>
        </w:tc>
        <w:tc>
          <w:tcPr>
            <w:tcW w:w="3686" w:type="dxa"/>
          </w:tcPr>
          <w:p>
            <w:pPr>
              <w:pStyle w:val="TableParagraph"/>
              <w:ind w:right="146"/>
              <w:rPr>
                <w:sz w:val="20"/>
                <w:szCs w:val="20"/>
              </w:rPr>
            </w:pPr>
            <w:r>
              <w:rPr>
                <w:sz w:val="20"/>
                <w:szCs w:val="20"/>
              </w:rPr>
              <w:t>Purchasing of parent evening software which is allowing promotes parental engagement and platform for parents to speak to teachers for support</w:t>
            </w:r>
          </w:p>
        </w:tc>
        <w:tc>
          <w:tcPr>
            <w:tcW w:w="3570" w:type="dxa"/>
          </w:tcPr>
          <w:p>
            <w:pPr>
              <w:pStyle w:val="TableParagraph"/>
              <w:spacing w:line="268" w:lineRule="exact"/>
              <w:ind w:left="127" w:right="116"/>
              <w:jc w:val="center"/>
              <w:rPr>
                <w:sz w:val="20"/>
                <w:szCs w:val="20"/>
              </w:rPr>
            </w:pPr>
            <w:r>
              <w:rPr>
                <w:sz w:val="20"/>
                <w:szCs w:val="20"/>
              </w:rPr>
              <w:t xml:space="preserve">£ </w:t>
            </w:r>
            <w:r>
              <w:rPr>
                <w:color w:val="000000" w:themeColor="text1"/>
                <w:sz w:val="20"/>
                <w:szCs w:val="20"/>
              </w:rPr>
              <w:t>199*</w:t>
            </w:r>
          </w:p>
        </w:tc>
      </w:tr>
      <w:tr>
        <w:trPr>
          <w:trHeight w:val="1879"/>
        </w:trPr>
        <w:tc>
          <w:tcPr>
            <w:tcW w:w="3581" w:type="dxa"/>
          </w:tcPr>
          <w:p>
            <w:pPr>
              <w:pStyle w:val="TableParagraph"/>
              <w:spacing w:line="268" w:lineRule="exact"/>
              <w:rPr>
                <w:sz w:val="20"/>
                <w:szCs w:val="20"/>
              </w:rPr>
            </w:pPr>
            <w:r>
              <w:rPr>
                <w:sz w:val="20"/>
                <w:szCs w:val="20"/>
              </w:rPr>
              <w:lastRenderedPageBreak/>
              <w:t>11</w:t>
            </w:r>
          </w:p>
        </w:tc>
        <w:tc>
          <w:tcPr>
            <w:tcW w:w="3685" w:type="dxa"/>
          </w:tcPr>
          <w:p>
            <w:pPr>
              <w:pStyle w:val="TableParagraph"/>
              <w:spacing w:line="268" w:lineRule="exact"/>
              <w:ind w:left="107"/>
              <w:rPr>
                <w:b/>
                <w:sz w:val="20"/>
                <w:szCs w:val="20"/>
              </w:rPr>
            </w:pPr>
            <w:r>
              <w:rPr>
                <w:b/>
                <w:sz w:val="20"/>
                <w:szCs w:val="20"/>
              </w:rPr>
              <w:t xml:space="preserve">B8 </w:t>
            </w:r>
            <w:r>
              <w:rPr>
                <w:bCs/>
                <w:sz w:val="20"/>
                <w:szCs w:val="20"/>
              </w:rPr>
              <w:t xml:space="preserve">Ensure all Year 11s benefit from 1:1 career support outside of lesson time. </w:t>
            </w:r>
          </w:p>
        </w:tc>
        <w:tc>
          <w:tcPr>
            <w:tcW w:w="3686" w:type="dxa"/>
          </w:tcPr>
          <w:p>
            <w:pPr>
              <w:pStyle w:val="TableParagraph"/>
              <w:ind w:right="146"/>
              <w:rPr>
                <w:sz w:val="20"/>
                <w:szCs w:val="20"/>
              </w:rPr>
            </w:pPr>
            <w:r>
              <w:rPr>
                <w:sz w:val="20"/>
                <w:szCs w:val="20"/>
              </w:rPr>
              <w:t>This is essential advice and guidance that the school must offer to all students so they are thinking about what they will be doing next academic year and beyond</w:t>
            </w:r>
          </w:p>
        </w:tc>
        <w:tc>
          <w:tcPr>
            <w:tcW w:w="3570" w:type="dxa"/>
          </w:tcPr>
          <w:p>
            <w:pPr>
              <w:pStyle w:val="TableParagraph"/>
              <w:spacing w:line="268" w:lineRule="exact"/>
              <w:ind w:left="127" w:right="116"/>
              <w:jc w:val="center"/>
              <w:rPr>
                <w:sz w:val="20"/>
                <w:szCs w:val="20"/>
              </w:rPr>
            </w:pPr>
            <w:r>
              <w:rPr>
                <w:sz w:val="20"/>
                <w:szCs w:val="20"/>
              </w:rPr>
              <w:t>£0</w:t>
            </w:r>
          </w:p>
        </w:tc>
      </w:tr>
    </w:tbl>
    <w:p/>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59"/>
        <w:gridCol w:w="1370"/>
      </w:tblGrid>
      <w:tr>
        <w:trPr>
          <w:trHeight w:val="342"/>
        </w:trPr>
        <w:tc>
          <w:tcPr>
            <w:tcW w:w="6329" w:type="dxa"/>
            <w:gridSpan w:val="2"/>
            <w:shd w:val="clear" w:color="auto" w:fill="D9E1F3"/>
          </w:tcPr>
          <w:p>
            <w:pPr>
              <w:pStyle w:val="TableParagraph"/>
              <w:spacing w:line="268" w:lineRule="exact"/>
              <w:ind w:left="105"/>
              <w:jc w:val="center"/>
              <w:rPr>
                <w:b/>
              </w:rPr>
            </w:pPr>
            <w:r>
              <w:rPr>
                <w:b/>
                <w:bCs/>
                <w:color w:val="79133E"/>
              </w:rPr>
              <w:t>Summary Catch-up Grant allocation</w:t>
            </w:r>
          </w:p>
        </w:tc>
      </w:tr>
      <w:tr>
        <w:trPr>
          <w:trHeight w:val="292"/>
        </w:trPr>
        <w:tc>
          <w:tcPr>
            <w:tcW w:w="4959" w:type="dxa"/>
            <w:shd w:val="clear" w:color="auto" w:fill="D9E1F3"/>
          </w:tcPr>
          <w:p>
            <w:pPr>
              <w:pStyle w:val="TableParagraph"/>
              <w:spacing w:line="272" w:lineRule="exact"/>
              <w:rPr>
                <w:b/>
              </w:rPr>
            </w:pPr>
            <w:r>
              <w:rPr>
                <w:b/>
              </w:rPr>
              <w:t>Strategy</w:t>
            </w:r>
          </w:p>
        </w:tc>
        <w:tc>
          <w:tcPr>
            <w:tcW w:w="1370" w:type="dxa"/>
            <w:shd w:val="clear" w:color="auto" w:fill="D9E1F3"/>
          </w:tcPr>
          <w:p>
            <w:pPr>
              <w:pStyle w:val="TableParagraph"/>
              <w:spacing w:line="272" w:lineRule="exact"/>
              <w:ind w:left="208" w:right="197"/>
              <w:jc w:val="center"/>
              <w:rPr>
                <w:b/>
              </w:rPr>
            </w:pPr>
            <w:r>
              <w:rPr>
                <w:b/>
              </w:rPr>
              <w:t>Cost</w:t>
            </w:r>
          </w:p>
        </w:tc>
      </w:tr>
      <w:tr>
        <w:trPr>
          <w:trHeight w:val="292"/>
        </w:trPr>
        <w:tc>
          <w:tcPr>
            <w:tcW w:w="4959" w:type="dxa"/>
          </w:tcPr>
          <w:p>
            <w:pPr>
              <w:pStyle w:val="TableParagraph"/>
              <w:spacing w:line="272" w:lineRule="exact"/>
              <w:rPr>
                <w:b/>
              </w:rPr>
            </w:pPr>
            <w:r>
              <w:rPr>
                <w:b/>
              </w:rPr>
              <w:t>Teaching and whole school</w:t>
            </w:r>
          </w:p>
        </w:tc>
        <w:tc>
          <w:tcPr>
            <w:tcW w:w="1370" w:type="dxa"/>
          </w:tcPr>
          <w:p>
            <w:pPr>
              <w:pStyle w:val="TableParagraph"/>
              <w:spacing w:line="272" w:lineRule="exact"/>
              <w:ind w:left="208" w:right="195"/>
              <w:jc w:val="center"/>
              <w:rPr>
                <w:b/>
              </w:rPr>
            </w:pPr>
            <w:r>
              <w:rPr>
                <w:b/>
                <w:color w:val="000000" w:themeColor="text1"/>
              </w:rPr>
              <w:t>354</w:t>
            </w:r>
          </w:p>
        </w:tc>
      </w:tr>
      <w:tr>
        <w:trPr>
          <w:trHeight w:val="290"/>
        </w:trPr>
        <w:tc>
          <w:tcPr>
            <w:tcW w:w="4959" w:type="dxa"/>
            <w:tcBorders>
              <w:bottom w:val="single" w:sz="6" w:space="0" w:color="000000"/>
            </w:tcBorders>
          </w:tcPr>
          <w:p>
            <w:pPr>
              <w:pStyle w:val="TableParagraph"/>
              <w:spacing w:line="270" w:lineRule="exact"/>
              <w:rPr>
                <w:b/>
              </w:rPr>
            </w:pPr>
            <w:r>
              <w:rPr>
                <w:b/>
              </w:rPr>
              <w:t>Targeted</w:t>
            </w:r>
          </w:p>
        </w:tc>
        <w:tc>
          <w:tcPr>
            <w:tcW w:w="1370" w:type="dxa"/>
            <w:tcBorders>
              <w:bottom w:val="single" w:sz="6" w:space="0" w:color="000000"/>
            </w:tcBorders>
          </w:tcPr>
          <w:p>
            <w:pPr>
              <w:pStyle w:val="TableParagraph"/>
              <w:spacing w:line="268" w:lineRule="exact"/>
              <w:ind w:left="105"/>
              <w:jc w:val="center"/>
              <w:rPr>
                <w:b/>
              </w:rPr>
            </w:pPr>
            <w:r>
              <w:rPr>
                <w:b/>
                <w:bCs/>
                <w:color w:val="79133E"/>
              </w:rPr>
              <w:t>16,351</w:t>
            </w:r>
          </w:p>
        </w:tc>
      </w:tr>
      <w:tr>
        <w:trPr>
          <w:trHeight w:val="292"/>
        </w:trPr>
        <w:tc>
          <w:tcPr>
            <w:tcW w:w="4959" w:type="dxa"/>
            <w:tcBorders>
              <w:top w:val="single" w:sz="6" w:space="0" w:color="000000"/>
            </w:tcBorders>
          </w:tcPr>
          <w:p>
            <w:pPr>
              <w:pStyle w:val="TableParagraph"/>
              <w:spacing w:line="273" w:lineRule="exact"/>
              <w:rPr>
                <w:b/>
              </w:rPr>
            </w:pPr>
            <w:r>
              <w:rPr>
                <w:b/>
              </w:rPr>
              <w:t>Wider</w:t>
            </w:r>
          </w:p>
        </w:tc>
        <w:tc>
          <w:tcPr>
            <w:tcW w:w="1370" w:type="dxa"/>
            <w:tcBorders>
              <w:top w:val="single" w:sz="6" w:space="0" w:color="000000"/>
            </w:tcBorders>
          </w:tcPr>
          <w:p>
            <w:pPr>
              <w:pStyle w:val="TableParagraph"/>
              <w:spacing w:line="268" w:lineRule="exact"/>
              <w:ind w:left="105"/>
              <w:jc w:val="center"/>
              <w:rPr>
                <w:b/>
                <w:bCs/>
                <w:color w:val="79133E"/>
              </w:rPr>
            </w:pPr>
            <w:r>
              <w:rPr>
                <w:b/>
                <w:bCs/>
                <w:color w:val="79133E"/>
              </w:rPr>
              <w:t>5,729</w:t>
            </w:r>
          </w:p>
          <w:p>
            <w:pPr>
              <w:pStyle w:val="TableParagraph"/>
              <w:spacing w:line="273" w:lineRule="exact"/>
              <w:ind w:left="208" w:right="194"/>
              <w:jc w:val="center"/>
              <w:rPr>
                <w:b/>
                <w:color w:val="000000" w:themeColor="text1"/>
              </w:rPr>
            </w:pPr>
            <w:r>
              <w:rPr>
                <w:b/>
                <w:color w:val="000000" w:themeColor="text1"/>
              </w:rPr>
              <w:t>6,199</w:t>
            </w:r>
          </w:p>
          <w:p>
            <w:pPr>
              <w:pStyle w:val="TableParagraph"/>
              <w:spacing w:line="273" w:lineRule="exact"/>
              <w:ind w:left="208" w:right="194"/>
              <w:jc w:val="center"/>
              <w:rPr>
                <w:b/>
              </w:rPr>
            </w:pPr>
          </w:p>
        </w:tc>
      </w:tr>
      <w:tr>
        <w:trPr>
          <w:trHeight w:val="292"/>
        </w:trPr>
        <w:tc>
          <w:tcPr>
            <w:tcW w:w="4959" w:type="dxa"/>
          </w:tcPr>
          <w:p>
            <w:pPr>
              <w:pStyle w:val="TableParagraph"/>
              <w:spacing w:line="272" w:lineRule="exact"/>
              <w:ind w:left="0" w:right="97"/>
              <w:jc w:val="right"/>
              <w:rPr>
                <w:b/>
              </w:rPr>
            </w:pPr>
            <w:r>
              <w:rPr>
                <w:b/>
              </w:rPr>
              <w:t>Total</w:t>
            </w:r>
          </w:p>
        </w:tc>
        <w:tc>
          <w:tcPr>
            <w:tcW w:w="1370" w:type="dxa"/>
          </w:tcPr>
          <w:p>
            <w:pPr>
              <w:pStyle w:val="TableParagraph"/>
              <w:spacing w:line="272" w:lineRule="exact"/>
              <w:ind w:left="208" w:right="196"/>
              <w:jc w:val="center"/>
              <w:rPr>
                <w:b/>
              </w:rPr>
            </w:pPr>
            <w:r>
              <w:rPr>
                <w:b/>
              </w:rPr>
              <w:t>£28,633</w:t>
            </w:r>
          </w:p>
        </w:tc>
      </w:tr>
      <w:tr>
        <w:trPr>
          <w:trHeight w:val="292"/>
        </w:trPr>
        <w:tc>
          <w:tcPr>
            <w:tcW w:w="4959" w:type="dxa"/>
          </w:tcPr>
          <w:p>
            <w:pPr>
              <w:pStyle w:val="TableParagraph"/>
              <w:spacing w:line="272" w:lineRule="exact"/>
              <w:ind w:left="0" w:right="97"/>
              <w:jc w:val="right"/>
              <w:rPr>
                <w:b/>
                <w:color w:val="000000" w:themeColor="text1"/>
              </w:rPr>
            </w:pPr>
            <w:r>
              <w:rPr>
                <w:b/>
                <w:color w:val="000000" w:themeColor="text1"/>
              </w:rPr>
              <w:t>School Contribution</w:t>
            </w:r>
            <w:r>
              <w:rPr>
                <w:b/>
                <w:color w:val="000000" w:themeColor="text1"/>
              </w:rPr>
              <w:t>*</w:t>
            </w:r>
          </w:p>
        </w:tc>
        <w:tc>
          <w:tcPr>
            <w:tcW w:w="1370" w:type="dxa"/>
          </w:tcPr>
          <w:p>
            <w:pPr>
              <w:pStyle w:val="TableParagraph"/>
              <w:spacing w:line="272" w:lineRule="exact"/>
              <w:ind w:left="208" w:right="196"/>
              <w:jc w:val="center"/>
              <w:rPr>
                <w:b/>
                <w:color w:val="000000" w:themeColor="text1"/>
              </w:rPr>
            </w:pPr>
            <w:r>
              <w:rPr>
                <w:b/>
                <w:color w:val="000000" w:themeColor="text1"/>
              </w:rPr>
              <w:t>6,5</w:t>
            </w:r>
            <w:r>
              <w:rPr>
                <w:b/>
                <w:color w:val="000000" w:themeColor="text1"/>
              </w:rPr>
              <w:t>5</w:t>
            </w:r>
            <w:r>
              <w:rPr>
                <w:b/>
                <w:color w:val="000000" w:themeColor="text1"/>
              </w:rPr>
              <w:t>3</w:t>
            </w:r>
          </w:p>
        </w:tc>
      </w:tr>
      <w:tr>
        <w:trPr>
          <w:trHeight w:val="292"/>
        </w:trPr>
        <w:tc>
          <w:tcPr>
            <w:tcW w:w="4959" w:type="dxa"/>
          </w:tcPr>
          <w:p>
            <w:pPr>
              <w:pStyle w:val="TableParagraph"/>
              <w:spacing w:line="268" w:lineRule="exact"/>
              <w:ind w:left="105"/>
              <w:jc w:val="center"/>
              <w:rPr>
                <w:b/>
                <w:bCs/>
                <w:color w:val="79133E"/>
              </w:rPr>
            </w:pPr>
            <w:r>
              <w:rPr>
                <w:b/>
                <w:bCs/>
                <w:color w:val="79133E"/>
              </w:rPr>
              <w:t xml:space="preserve">                                        Catch Up Premium Allocation</w:t>
            </w:r>
          </w:p>
        </w:tc>
        <w:tc>
          <w:tcPr>
            <w:tcW w:w="1370" w:type="dxa"/>
          </w:tcPr>
          <w:p>
            <w:pPr>
              <w:pStyle w:val="TableParagraph"/>
              <w:spacing w:line="268" w:lineRule="exact"/>
              <w:ind w:left="105"/>
              <w:jc w:val="center"/>
              <w:rPr>
                <w:b/>
                <w:bCs/>
                <w:color w:val="79133E"/>
              </w:rPr>
            </w:pPr>
            <w:r>
              <w:rPr>
                <w:b/>
                <w:bCs/>
                <w:color w:val="79133E"/>
              </w:rPr>
              <w:t>£22,080</w:t>
            </w:r>
          </w:p>
        </w:tc>
      </w:tr>
    </w:tbl>
    <w:p/>
    <w:sectPr>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390937"/>
    <w:multiLevelType w:val="multilevel"/>
    <w:tmpl w:val="57FA91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21561D"/>
    <w:multiLevelType w:val="multilevel"/>
    <w:tmpl w:val="BBD42F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706E18"/>
    <w:multiLevelType w:val="multilevel"/>
    <w:tmpl w:val="C89805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665064-52E0-4FB8-B38E-156D2FC6B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Pr>
      <w:b/>
      <w:bCs/>
    </w:rPr>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1"/>
    <w:qFormat/>
    <w:pPr>
      <w:widowControl w:val="0"/>
      <w:autoSpaceDE w:val="0"/>
      <w:autoSpaceDN w:val="0"/>
      <w:spacing w:after="0" w:line="240" w:lineRule="auto"/>
    </w:pPr>
    <w:rPr>
      <w:rFonts w:ascii="Calibri" w:eastAsia="Calibri" w:hAnsi="Calibri" w:cs="Calibri"/>
      <w:lang w:eastAsia="en-GB" w:bidi="en-GB"/>
    </w:rPr>
  </w:style>
  <w:style w:type="character" w:customStyle="1" w:styleId="BodyTextChar">
    <w:name w:val="Body Text Char"/>
    <w:basedOn w:val="DefaultParagraphFont"/>
    <w:link w:val="BodyText"/>
    <w:uiPriority w:val="1"/>
    <w:rPr>
      <w:rFonts w:ascii="Calibri" w:eastAsia="Calibri" w:hAnsi="Calibri" w:cs="Calibri"/>
      <w:lang w:eastAsia="en-GB" w:bidi="en-GB"/>
    </w:rPr>
  </w:style>
  <w:style w:type="paragraph" w:customStyle="1" w:styleId="TableParagraph">
    <w:name w:val="Table Paragraph"/>
    <w:basedOn w:val="Normal"/>
    <w:uiPriority w:val="1"/>
    <w:qFormat/>
    <w:pPr>
      <w:widowControl w:val="0"/>
      <w:autoSpaceDE w:val="0"/>
      <w:autoSpaceDN w:val="0"/>
      <w:spacing w:after="0" w:line="240" w:lineRule="auto"/>
      <w:ind w:left="108"/>
    </w:pPr>
    <w:rPr>
      <w:rFonts w:ascii="Calibri" w:eastAsia="Calibri" w:hAnsi="Calibri" w:cs="Calibri"/>
      <w:lang w:eastAsia="en-GB" w:bidi="en-GB"/>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23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ucationendowmentfoundation.org.uk/covid-19-resources/covid-19-support-guide-for-schoo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1540</Words>
  <Characters>8780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S.Cooper</dc:creator>
  <cp:keywords/>
  <dc:description/>
  <cp:lastModifiedBy>S.Cooper</cp:lastModifiedBy>
  <cp:revision>5</cp:revision>
  <cp:lastPrinted>2020-11-24T13:30:00Z</cp:lastPrinted>
  <dcterms:created xsi:type="dcterms:W3CDTF">2020-11-19T08:08:00Z</dcterms:created>
  <dcterms:modified xsi:type="dcterms:W3CDTF">2020-11-24T14:05:00Z</dcterms:modified>
</cp:coreProperties>
</file>