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8629A1" w14:textId="69654C09" w:rsidR="004A5D45" w:rsidRPr="004A5D45" w:rsidRDefault="004A5D45" w:rsidP="004A5D45">
      <w:pPr>
        <w:pStyle w:val="caption"/>
        <w:spacing w:before="0" w:beforeAutospacing="0" w:line="230" w:lineRule="atLeast"/>
        <w:rPr>
          <w:rStyle w:val="Strong"/>
          <w:rFonts w:asciiTheme="minorHAnsi" w:hAnsiTheme="minorHAnsi" w:cstheme="minorHAnsi"/>
          <w:color w:val="333333"/>
          <w:sz w:val="28"/>
          <w:szCs w:val="28"/>
          <w:u w:val="single"/>
        </w:rPr>
      </w:pPr>
      <w:r w:rsidRPr="004A5D45">
        <w:rPr>
          <w:rFonts w:asciiTheme="minorHAnsi" w:hAnsiTheme="minorHAnsi" w:cstheme="minorHAnsi"/>
          <w:b/>
          <w:bCs/>
          <w:color w:val="333333"/>
          <w:sz w:val="28"/>
          <w:szCs w:val="28"/>
          <w:u w:val="single"/>
        </w:rPr>
        <w:t>The Qualifications Framework</w:t>
      </w:r>
    </w:p>
    <w:p w14:paraId="72C0ED04" w14:textId="39C346F6" w:rsidR="004A5D45" w:rsidRPr="004A5D45" w:rsidRDefault="004A5D45" w:rsidP="004A5D45">
      <w:pPr>
        <w:pStyle w:val="para"/>
        <w:spacing w:before="0" w:beforeAutospacing="0" w:line="230" w:lineRule="atLeast"/>
        <w:rPr>
          <w:rFonts w:asciiTheme="minorHAnsi" w:hAnsiTheme="minorHAnsi" w:cstheme="minorHAnsi"/>
          <w:color w:val="333333"/>
          <w:sz w:val="22"/>
          <w:szCs w:val="22"/>
        </w:rPr>
      </w:pPr>
      <w:r w:rsidRPr="004A5D45">
        <w:rPr>
          <w:rStyle w:val="Strong"/>
          <w:rFonts w:asciiTheme="minorHAnsi" w:hAnsiTheme="minorHAnsi" w:cstheme="minorHAnsi"/>
          <w:color w:val="333333"/>
          <w:sz w:val="22"/>
          <w:szCs w:val="22"/>
        </w:rPr>
        <w:t>Post-school education: </w:t>
      </w:r>
      <w:r w:rsidRPr="004A5D45">
        <w:rPr>
          <w:rFonts w:asciiTheme="minorHAnsi" w:hAnsiTheme="minorHAnsi" w:cstheme="minorHAnsi"/>
          <w:color w:val="333333"/>
          <w:sz w:val="22"/>
          <w:szCs w:val="22"/>
        </w:rPr>
        <w:t>all learning and teaching that takes place after the completion of compulsory education.</w:t>
      </w:r>
    </w:p>
    <w:p w14:paraId="6E51961B" w14:textId="77777777" w:rsidR="004A5D45" w:rsidRPr="004A5D45" w:rsidRDefault="004A5D45" w:rsidP="004A5D45">
      <w:pPr>
        <w:pStyle w:val="para"/>
        <w:spacing w:before="0" w:beforeAutospacing="0" w:line="230" w:lineRule="atLeast"/>
        <w:rPr>
          <w:rFonts w:asciiTheme="minorHAnsi" w:hAnsiTheme="minorHAnsi" w:cstheme="minorHAnsi"/>
          <w:color w:val="333333"/>
          <w:sz w:val="22"/>
          <w:szCs w:val="22"/>
        </w:rPr>
      </w:pPr>
      <w:r w:rsidRPr="004A5D45">
        <w:rPr>
          <w:rStyle w:val="Strong"/>
          <w:rFonts w:asciiTheme="minorHAnsi" w:hAnsiTheme="minorHAnsi" w:cstheme="minorHAnsi"/>
          <w:color w:val="333333"/>
          <w:sz w:val="22"/>
          <w:szCs w:val="22"/>
        </w:rPr>
        <w:t>Higher education:</w:t>
      </w:r>
      <w:r w:rsidRPr="004A5D45">
        <w:rPr>
          <w:rFonts w:asciiTheme="minorHAnsi" w:hAnsiTheme="minorHAnsi" w:cstheme="minorHAnsi"/>
          <w:color w:val="333333"/>
          <w:sz w:val="22"/>
          <w:szCs w:val="22"/>
        </w:rPr>
        <w:t> all education and training at Levels 4, 5 and above whether carried out in universities, further education colleges or as part of an apprenticeship.</w:t>
      </w:r>
    </w:p>
    <w:p w14:paraId="4AF87A20" w14:textId="77777777" w:rsidR="004A5D45" w:rsidRPr="004A5D45" w:rsidRDefault="004A5D45" w:rsidP="004A5D45">
      <w:pPr>
        <w:pStyle w:val="para"/>
        <w:spacing w:before="0" w:beforeAutospacing="0" w:line="230" w:lineRule="atLeast"/>
        <w:rPr>
          <w:rFonts w:asciiTheme="minorHAnsi" w:hAnsiTheme="minorHAnsi" w:cstheme="minorHAnsi"/>
          <w:color w:val="333333"/>
          <w:sz w:val="22"/>
          <w:szCs w:val="22"/>
        </w:rPr>
      </w:pPr>
      <w:r w:rsidRPr="004A5D45">
        <w:rPr>
          <w:rStyle w:val="Strong"/>
          <w:rFonts w:asciiTheme="minorHAnsi" w:hAnsiTheme="minorHAnsi" w:cstheme="minorHAnsi"/>
          <w:color w:val="333333"/>
          <w:sz w:val="22"/>
          <w:szCs w:val="22"/>
        </w:rPr>
        <w:t>Further education:</w:t>
      </w:r>
      <w:r w:rsidRPr="004A5D45">
        <w:rPr>
          <w:rFonts w:asciiTheme="minorHAnsi" w:hAnsiTheme="minorHAnsi" w:cstheme="minorHAnsi"/>
          <w:color w:val="333333"/>
          <w:sz w:val="22"/>
          <w:szCs w:val="22"/>
        </w:rPr>
        <w:t> all education and training below Level 4 carried out in further education colleges and universities. Education in schools is not included in further education.</w:t>
      </w:r>
    </w:p>
    <w:p w14:paraId="39720241" w14:textId="77777777" w:rsidR="004A5D45" w:rsidRPr="004A5D45" w:rsidRDefault="004A5D45" w:rsidP="004A5D45">
      <w:pPr>
        <w:pStyle w:val="para"/>
        <w:spacing w:before="0" w:beforeAutospacing="0" w:line="230" w:lineRule="atLeast"/>
        <w:rPr>
          <w:rFonts w:asciiTheme="minorHAnsi" w:hAnsiTheme="minorHAnsi" w:cstheme="minorHAnsi"/>
          <w:color w:val="333333"/>
          <w:sz w:val="22"/>
          <w:szCs w:val="22"/>
        </w:rPr>
      </w:pPr>
      <w:r w:rsidRPr="004A5D45">
        <w:rPr>
          <w:rStyle w:val="Strong"/>
          <w:rFonts w:asciiTheme="minorHAnsi" w:hAnsiTheme="minorHAnsi" w:cstheme="minorHAnsi"/>
          <w:color w:val="333333"/>
          <w:sz w:val="22"/>
          <w:szCs w:val="22"/>
        </w:rPr>
        <w:t>Qualification levels:</w:t>
      </w:r>
      <w:r w:rsidRPr="004A5D45">
        <w:rPr>
          <w:rFonts w:asciiTheme="minorHAnsi" w:hAnsiTheme="minorHAnsi" w:cstheme="minorHAnsi"/>
          <w:color w:val="333333"/>
          <w:sz w:val="22"/>
          <w:szCs w:val="22"/>
        </w:rPr>
        <w:t> The Qualifications Framework define and link the levels of different types of qualification. There are currently eight levels of qualification as set out below:</w:t>
      </w:r>
    </w:p>
    <w:p w14:paraId="65CD4F47" w14:textId="77777777" w:rsidR="004A5D45" w:rsidRPr="004A5D45" w:rsidRDefault="004A5D45" w:rsidP="004A5D45">
      <w:pPr>
        <w:pStyle w:val="caption"/>
        <w:spacing w:before="0" w:beforeAutospacing="0" w:line="230" w:lineRule="atLeast"/>
        <w:rPr>
          <w:rFonts w:asciiTheme="minorHAnsi" w:hAnsiTheme="minorHAnsi" w:cstheme="minorHAnsi"/>
          <w:b/>
          <w:bCs/>
          <w:color w:val="333333"/>
          <w:sz w:val="22"/>
          <w:szCs w:val="22"/>
        </w:rPr>
      </w:pPr>
      <w:r w:rsidRPr="004A5D45">
        <w:rPr>
          <w:rFonts w:asciiTheme="minorHAnsi" w:hAnsiTheme="minorHAnsi" w:cstheme="minorHAnsi"/>
          <w:b/>
          <w:bCs/>
          <w:color w:val="333333"/>
          <w:sz w:val="22"/>
          <w:szCs w:val="22"/>
        </w:rPr>
        <w:t>Figure 1: The Qualifications Framework</w:t>
      </w:r>
    </w:p>
    <w:p w14:paraId="10674491" w14:textId="39B0E4EF" w:rsidR="004A5D45" w:rsidRPr="004A5D45" w:rsidRDefault="004A5D45" w:rsidP="004A5D45">
      <w:pPr>
        <w:pStyle w:val="graphicpara"/>
        <w:spacing w:before="0" w:beforeAutospacing="0" w:line="230" w:lineRule="atLeast"/>
        <w:rPr>
          <w:rFonts w:asciiTheme="minorHAnsi" w:hAnsiTheme="minorHAnsi" w:cstheme="minorHAnsi"/>
          <w:color w:val="333333"/>
          <w:sz w:val="19"/>
          <w:szCs w:val="19"/>
        </w:rPr>
      </w:pPr>
      <w:r w:rsidRPr="004A5D45">
        <w:rPr>
          <w:rFonts w:asciiTheme="minorHAnsi" w:hAnsiTheme="minorHAnsi" w:cstheme="minorHAnsi"/>
          <w:noProof/>
          <w:color w:val="333333"/>
          <w:sz w:val="19"/>
          <w:szCs w:val="19"/>
        </w:rPr>
        <w:drawing>
          <wp:inline distT="0" distB="0" distL="0" distR="0" wp14:anchorId="4CC3131C" wp14:editId="548E0E58">
            <wp:extent cx="5731510" cy="3838575"/>
            <wp:effectExtent l="0" t="0" r="2540" b="0"/>
            <wp:docPr id="1" name="Picture 1" descr="Flow chart showing the level of qualific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 chart showing the level of qualification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E261F" w14:textId="77777777" w:rsidR="004A5D45" w:rsidRPr="004A5D45" w:rsidRDefault="004A5D45" w:rsidP="004A5D45">
      <w:pPr>
        <w:pStyle w:val="para"/>
        <w:spacing w:before="0" w:beforeAutospacing="0" w:line="230" w:lineRule="atLeast"/>
        <w:rPr>
          <w:rFonts w:asciiTheme="minorHAnsi" w:hAnsiTheme="minorHAnsi" w:cstheme="minorHAnsi"/>
          <w:color w:val="333333"/>
          <w:sz w:val="22"/>
          <w:szCs w:val="22"/>
        </w:rPr>
      </w:pPr>
      <w:r w:rsidRPr="004A5D45">
        <w:rPr>
          <w:rStyle w:val="Strong"/>
          <w:rFonts w:asciiTheme="minorHAnsi" w:hAnsiTheme="minorHAnsi" w:cstheme="minorHAnsi"/>
          <w:color w:val="333333"/>
          <w:sz w:val="22"/>
          <w:szCs w:val="22"/>
        </w:rPr>
        <w:t>Scope of report:</w:t>
      </w:r>
      <w:r w:rsidRPr="004A5D45">
        <w:rPr>
          <w:rFonts w:asciiTheme="minorHAnsi" w:hAnsiTheme="minorHAnsi" w:cstheme="minorHAnsi"/>
          <w:color w:val="333333"/>
          <w:sz w:val="22"/>
          <w:szCs w:val="22"/>
        </w:rPr>
        <w:t> responsibility for higher and further education is devolved. Apprenticeship policy in general is also a devolved matter. An exception to this is the apprenticeship levy which is a UK-wide policy, but administration of funds collected through the levy is devolved to Scotland and Wales. This report therefore only covers higher and further education and apprenticeships in England.</w:t>
      </w:r>
    </w:p>
    <w:p w14:paraId="4F1A8223" w14:textId="77777777" w:rsidR="00D239A3" w:rsidRDefault="004A5D45"/>
    <w:sectPr w:rsidR="00D239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D45"/>
    <w:rsid w:val="002D740C"/>
    <w:rsid w:val="004A5D45"/>
    <w:rsid w:val="008B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DB9FF"/>
  <w15:chartTrackingRefBased/>
  <w15:docId w15:val="{C341223B-3C3F-4490-9943-32C80FAD6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">
    <w:name w:val="para"/>
    <w:basedOn w:val="Normal"/>
    <w:rsid w:val="004A5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A5D45"/>
    <w:rPr>
      <w:b/>
      <w:bCs/>
    </w:rPr>
  </w:style>
  <w:style w:type="paragraph" w:customStyle="1" w:styleId="caption">
    <w:name w:val="caption"/>
    <w:basedOn w:val="Normal"/>
    <w:rsid w:val="004A5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raphicpara">
    <w:name w:val="graphicpara"/>
    <w:basedOn w:val="Normal"/>
    <w:rsid w:val="004A5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71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7BCB1874F8EC4784D9FCCEBB434D80" ma:contentTypeVersion="2" ma:contentTypeDescription="Create a new document." ma:contentTypeScope="" ma:versionID="fc58b844748728cbe2d0e4017bb289b9">
  <xsd:schema xmlns:xsd="http://www.w3.org/2001/XMLSchema" xmlns:xs="http://www.w3.org/2001/XMLSchema" xmlns:p="http://schemas.microsoft.com/office/2006/metadata/properties" xmlns:ns2="fbfb50da-7e23-4959-ac78-060d7c1cced8" targetNamespace="http://schemas.microsoft.com/office/2006/metadata/properties" ma:root="true" ma:fieldsID="4885312f2c320520f8483c4ceeb36516" ns2:_="">
    <xsd:import namespace="fbfb50da-7e23-4959-ac78-060d7c1cce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b50da-7e23-4959-ac78-060d7c1cc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3EA448-E3B7-4DF2-B138-22C77BB80EB8}"/>
</file>

<file path=customXml/itemProps2.xml><?xml version="1.0" encoding="utf-8"?>
<ds:datastoreItem xmlns:ds="http://schemas.openxmlformats.org/officeDocument/2006/customXml" ds:itemID="{C0270677-6575-4AA1-B075-D9E27F67FC50}"/>
</file>

<file path=customXml/itemProps3.xml><?xml version="1.0" encoding="utf-8"?>
<ds:datastoreItem xmlns:ds="http://schemas.openxmlformats.org/officeDocument/2006/customXml" ds:itemID="{DF1C5AA7-ACC8-4013-A54E-52CB37E4D3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D.Artrey</dc:creator>
  <cp:keywords/>
  <dc:description/>
  <cp:lastModifiedBy>D.Artrey</cp:lastModifiedBy>
  <cp:revision>1</cp:revision>
  <dcterms:created xsi:type="dcterms:W3CDTF">2020-09-17T15:25:00Z</dcterms:created>
  <dcterms:modified xsi:type="dcterms:W3CDTF">2020-09-17T15:29:00Z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0x010100327BCB1874F8EC4784D9FCCEBB434D80</vt:lpwstr>
  </property>
</Properties>
</file>