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8629A1" w14:textId="69654C09" w:rsidR="004A5D45" w:rsidRPr="004A5D45" w:rsidRDefault="004A5D45" w:rsidP="004A5D45">
      <w:pPr>
        <w:pStyle w:val="caption"/>
        <w:spacing w:before="0" w:beforeAutospacing="0" w:line="230" w:lineRule="atLeast"/>
        <w:rPr>
          <w:rStyle w:val="Strong"/>
          <w:rFonts w:asciiTheme="minorHAnsi" w:hAnsiTheme="minorHAnsi" w:cstheme="minorHAnsi"/>
          <w:color w:val="333333"/>
          <w:sz w:val="28"/>
          <w:szCs w:val="28"/>
          <w:u w:val="single"/>
        </w:rPr>
      </w:pPr>
      <w:r w:rsidRPr="004A5D45">
        <w:rPr>
          <w:rFonts w:asciiTheme="minorHAnsi" w:hAnsiTheme="minorHAnsi" w:cstheme="minorHAnsi"/>
          <w:b/>
          <w:bCs/>
          <w:color w:val="333333"/>
          <w:sz w:val="28"/>
          <w:szCs w:val="28"/>
          <w:u w:val="single"/>
        </w:rPr>
        <w:t>The Qualifications Framework</w:t>
      </w:r>
    </w:p>
    <w:p w14:paraId="72C0ED04" w14:textId="39C346F6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Post-school education: 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all learning and teaching that takes place after the completion of compulsory education.</w:t>
      </w:r>
    </w:p>
    <w:p w14:paraId="6E51961B" w14:textId="77777777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Higher education: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 all education and training at Levels 4, 5 and above whether carried out in universities, further education colleges or as part of an apprenticeship.</w:t>
      </w:r>
    </w:p>
    <w:p w14:paraId="4AF87A20" w14:textId="77777777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Further education: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 all education and training below Level 4 carried out in further education colleges and universities. Education in schools is not included in further education.</w:t>
      </w:r>
    </w:p>
    <w:p w14:paraId="39720241" w14:textId="77777777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Qualification levels: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 The Qualifications Framework define and link the levels of different types of qualification. There are currently eight levels of qualification as set out below:</w:t>
      </w:r>
    </w:p>
    <w:p w14:paraId="65CD4F47" w14:textId="77777777" w:rsidR="004A5D45" w:rsidRPr="004A5D45" w:rsidRDefault="004A5D45" w:rsidP="004A5D45">
      <w:pPr>
        <w:pStyle w:val="caption"/>
        <w:spacing w:before="0" w:beforeAutospacing="0" w:line="230" w:lineRule="atLeast"/>
        <w:rPr>
          <w:rFonts w:asciiTheme="minorHAnsi" w:hAnsiTheme="minorHAnsi" w:cstheme="minorHAnsi"/>
          <w:b/>
          <w:bCs/>
          <w:color w:val="333333"/>
          <w:sz w:val="22"/>
          <w:szCs w:val="22"/>
        </w:rPr>
      </w:pPr>
      <w:r w:rsidRPr="004A5D45">
        <w:rPr>
          <w:rFonts w:asciiTheme="minorHAnsi" w:hAnsiTheme="minorHAnsi" w:cstheme="minorHAnsi"/>
          <w:b/>
          <w:bCs/>
          <w:color w:val="333333"/>
          <w:sz w:val="22"/>
          <w:szCs w:val="22"/>
        </w:rPr>
        <w:t>Figure 1: The Qualifications Framework</w:t>
      </w:r>
    </w:p>
    <w:p w14:paraId="10674491" w14:textId="39B0E4EF" w:rsidR="004A5D45" w:rsidRPr="004A5D45" w:rsidRDefault="004A5D45" w:rsidP="004A5D45">
      <w:pPr>
        <w:pStyle w:val="graphicpara"/>
        <w:spacing w:before="0" w:beforeAutospacing="0" w:line="230" w:lineRule="atLeast"/>
        <w:rPr>
          <w:rFonts w:asciiTheme="minorHAnsi" w:hAnsiTheme="minorHAnsi" w:cstheme="minorHAnsi"/>
          <w:color w:val="333333"/>
          <w:sz w:val="19"/>
          <w:szCs w:val="19"/>
        </w:rPr>
      </w:pPr>
      <w:r w:rsidRPr="004A5D45">
        <w:rPr>
          <w:rFonts w:asciiTheme="minorHAnsi" w:hAnsiTheme="minorHAnsi" w:cstheme="minorHAnsi"/>
          <w:noProof/>
          <w:color w:val="333333"/>
          <w:sz w:val="19"/>
          <w:szCs w:val="19"/>
        </w:rPr>
        <w:drawing>
          <wp:inline distT="0" distB="0" distL="0" distR="0" wp14:anchorId="4CC3131C" wp14:editId="548E0E58">
            <wp:extent cx="5731510" cy="3838575"/>
            <wp:effectExtent l="0" t="0" r="2540" b="0"/>
            <wp:docPr id="1" name="Picture 1" descr="Flow chart showing the level of qualific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 chart showing the level of qualificatio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E261F" w14:textId="77777777" w:rsidR="004A5D45" w:rsidRPr="004A5D45" w:rsidRDefault="004A5D45" w:rsidP="004A5D45">
      <w:pPr>
        <w:pStyle w:val="para"/>
        <w:spacing w:before="0" w:beforeAutospacing="0" w:line="230" w:lineRule="atLeast"/>
        <w:rPr>
          <w:rFonts w:asciiTheme="minorHAnsi" w:hAnsiTheme="minorHAnsi" w:cstheme="minorHAnsi"/>
          <w:color w:val="333333"/>
          <w:sz w:val="22"/>
          <w:szCs w:val="22"/>
        </w:rPr>
      </w:pPr>
      <w:r w:rsidRPr="004A5D45">
        <w:rPr>
          <w:rStyle w:val="Strong"/>
          <w:rFonts w:asciiTheme="minorHAnsi" w:hAnsiTheme="minorHAnsi" w:cstheme="minorHAnsi"/>
          <w:color w:val="333333"/>
          <w:sz w:val="22"/>
          <w:szCs w:val="22"/>
        </w:rPr>
        <w:t>Scope of report:</w:t>
      </w:r>
      <w:r w:rsidRPr="004A5D45">
        <w:rPr>
          <w:rFonts w:asciiTheme="minorHAnsi" w:hAnsiTheme="minorHAnsi" w:cstheme="minorHAnsi"/>
          <w:color w:val="333333"/>
          <w:sz w:val="22"/>
          <w:szCs w:val="22"/>
        </w:rPr>
        <w:t> responsibility for higher and further education is devolved. Apprenticeship policy in general is also a devolved matter. An exception to this is the apprenticeship levy which is a UK-wide policy, but administration of funds collected through the levy is devolved to Scotland and Wales. This report therefore only covers higher and further education and apprenticeships in England.</w:t>
      </w:r>
    </w:p>
    <w:p w14:paraId="4F1A8223" w14:textId="77777777" w:rsidR="00D239A3" w:rsidRDefault="004A5D45"/>
    <w:sectPr w:rsidR="00D239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45"/>
    <w:rsid w:val="002D740C"/>
    <w:rsid w:val="004A5D45"/>
    <w:rsid w:val="008B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DB9FF"/>
  <w15:chartTrackingRefBased/>
  <w15:docId w15:val="{C341223B-3C3F-4490-9943-32C80FAD6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">
    <w:name w:val="para"/>
    <w:basedOn w:val="Normal"/>
    <w:rsid w:val="004A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A5D45"/>
    <w:rPr>
      <w:b/>
      <w:bCs/>
    </w:rPr>
  </w:style>
  <w:style w:type="paragraph" w:customStyle="1" w:styleId="caption">
    <w:name w:val="caption"/>
    <w:basedOn w:val="Normal"/>
    <w:rsid w:val="004A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raphicpara">
    <w:name w:val="graphicpara"/>
    <w:basedOn w:val="Normal"/>
    <w:rsid w:val="004A5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71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7BCB1874F8EC4784D9FCCEBB434D80" ma:contentTypeVersion="4" ma:contentTypeDescription="Create a new document." ma:contentTypeScope="" ma:versionID="987ef4d4184fbbe964446a9e2a589b20">
  <xsd:schema xmlns:xsd="http://www.w3.org/2001/XMLSchema" xmlns:xs="http://www.w3.org/2001/XMLSchema" xmlns:p="http://schemas.microsoft.com/office/2006/metadata/properties" xmlns:ns2="fbfb50da-7e23-4959-ac78-060d7c1cced8" targetNamespace="http://schemas.microsoft.com/office/2006/metadata/properties" ma:root="true" ma:fieldsID="78d0ea0e7458d90e568c40b6b816b184" ns2:_="">
    <xsd:import namespace="fbfb50da-7e23-4959-ac78-060d7c1cce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b50da-7e23-4959-ac78-060d7c1cc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CFF4F5C-1D0A-40C5-B6E7-2A8AA62DEB20}"/>
</file>

<file path=customXml/itemProps2.xml><?xml version="1.0" encoding="utf-8"?>
<ds:datastoreItem xmlns:ds="http://schemas.openxmlformats.org/officeDocument/2006/customXml" ds:itemID="{0FB87B4F-4AA5-46D1-9910-6C78D1F7C733}"/>
</file>

<file path=customXml/itemProps3.xml><?xml version="1.0" encoding="utf-8"?>
<ds:datastoreItem xmlns:ds="http://schemas.openxmlformats.org/officeDocument/2006/customXml" ds:itemID="{06FFEF4E-41C7-4250-979A-178EF190B0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D.Artrey</dc:creator>
  <cp:keywords/>
  <dc:description/>
  <cp:lastModifiedBy>D.Artrey</cp:lastModifiedBy>
  <cp:revision>1</cp:revision>
  <dcterms:created xsi:type="dcterms:W3CDTF">2020-09-17T15:25:00Z</dcterms:created>
  <dcterms:modified xsi:type="dcterms:W3CDTF">2020-09-17T15:29:00Z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0x010100327BCB1874F8EC4784D9FCCEBB434D80</vt:lpwstr>
  </property>
</Properties>
</file>