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00E4" w14:textId="77777777" w:rsidR="001F08B9" w:rsidRPr="00827FA7" w:rsidRDefault="001F08B9" w:rsidP="001F08B9">
      <w:pPr>
        <w:pStyle w:val="NormalWeb"/>
        <w:shd w:val="clear" w:color="auto" w:fill="FFFFFF"/>
        <w:spacing w:before="240" w:beforeAutospacing="0" w:after="240" w:afterAutospacing="0" w:line="373" w:lineRule="atLeast"/>
        <w:rPr>
          <w:rFonts w:ascii="Nunito" w:hAnsi="Nunito"/>
          <w:b/>
          <w:bCs/>
          <w:color w:val="4B4B4B"/>
          <w:sz w:val="27"/>
          <w:szCs w:val="27"/>
        </w:rPr>
      </w:pPr>
      <w:r w:rsidRPr="00827FA7">
        <w:rPr>
          <w:rFonts w:ascii="Nunito" w:hAnsi="Nunito"/>
          <w:b/>
          <w:bCs/>
          <w:color w:val="4B4B4B"/>
          <w:sz w:val="27"/>
          <w:szCs w:val="27"/>
        </w:rPr>
        <w:t>Business Studies (GCSE)</w:t>
      </w:r>
    </w:p>
    <w:p w14:paraId="6217E51F" w14:textId="77777777" w:rsidR="001F08B9" w:rsidRPr="006F098D" w:rsidRDefault="001F08B9" w:rsidP="001F08B9">
      <w:pPr>
        <w:pStyle w:val="NormalWeb"/>
        <w:shd w:val="clear" w:color="auto" w:fill="FFFFFF"/>
        <w:spacing w:before="240" w:beforeAutospacing="0" w:after="240" w:afterAutospacing="0" w:line="373" w:lineRule="atLeast"/>
        <w:rPr>
          <w:rFonts w:ascii="Nunito" w:hAnsi="Nunito"/>
          <w:b/>
          <w:bCs/>
          <w:color w:val="4B4B4B"/>
          <w:sz w:val="27"/>
          <w:szCs w:val="27"/>
        </w:rPr>
      </w:pPr>
      <w:r w:rsidRPr="006F098D">
        <w:rPr>
          <w:rFonts w:ascii="Nunito" w:hAnsi="Nunito"/>
          <w:b/>
          <w:bCs/>
          <w:color w:val="4B4B4B"/>
          <w:sz w:val="27"/>
          <w:szCs w:val="27"/>
        </w:rPr>
        <w:t>Intent</w:t>
      </w:r>
    </w:p>
    <w:p w14:paraId="49BDBC3E" w14:textId="164196A9" w:rsidR="001F08B9" w:rsidRDefault="001F08B9" w:rsidP="001F08B9">
      <w:pPr>
        <w:pStyle w:val="NormalWeb"/>
        <w:shd w:val="clear" w:color="auto" w:fill="FFFFFF"/>
        <w:spacing w:before="240" w:beforeAutospacing="0" w:after="240" w:afterAutospacing="0" w:line="373" w:lineRule="atLeast"/>
        <w:rPr>
          <w:rFonts w:ascii="Nunito" w:hAnsi="Nunito"/>
          <w:color w:val="4B4B4B"/>
          <w:sz w:val="27"/>
          <w:szCs w:val="27"/>
        </w:rPr>
      </w:pPr>
      <w:r>
        <w:rPr>
          <w:rFonts w:ascii="Nunito" w:hAnsi="Nunito"/>
          <w:color w:val="4B4B4B"/>
          <w:sz w:val="27"/>
          <w:szCs w:val="27"/>
        </w:rPr>
        <w:t>Business Studies, offers and engaging and inspiring provision that reflects the demands of a truly modern and evolving world of business, commerce, and entrepreneurship. Learners are not only given the opportunity to develop an in-depth awareness and a natural curiosity of the business environment around them, but to actively spark their imagination and inspire their creative and commercial thinking as they develop their subject knowledge.   </w:t>
      </w:r>
    </w:p>
    <w:p w14:paraId="0EEB692C" w14:textId="77777777" w:rsidR="001F08B9" w:rsidRDefault="001F08B9" w:rsidP="001F08B9">
      <w:pPr>
        <w:pStyle w:val="NormalWeb"/>
        <w:shd w:val="clear" w:color="auto" w:fill="FFFFFF"/>
        <w:spacing w:before="240" w:beforeAutospacing="0" w:after="240" w:afterAutospacing="0" w:line="373" w:lineRule="atLeast"/>
        <w:rPr>
          <w:rFonts w:ascii="Nunito" w:hAnsi="Nunito"/>
          <w:color w:val="4B4B4B"/>
          <w:sz w:val="27"/>
          <w:szCs w:val="27"/>
        </w:rPr>
      </w:pPr>
      <w:r>
        <w:rPr>
          <w:rFonts w:ascii="Nunito" w:hAnsi="Nunito"/>
          <w:color w:val="4B4B4B"/>
          <w:sz w:val="27"/>
          <w:szCs w:val="27"/>
        </w:rPr>
        <w:t>By studying Business, learners are guaranteed a deeper understanding of the business organisation they aspire to set up, run or work for in the future, and the key driving factors and inhibitors that impacts that environment.  </w:t>
      </w:r>
    </w:p>
    <w:p w14:paraId="782E7DDF" w14:textId="77777777" w:rsidR="001F08B9" w:rsidRDefault="001F08B9" w:rsidP="001F08B9">
      <w:pPr>
        <w:pStyle w:val="NormalWeb"/>
        <w:shd w:val="clear" w:color="auto" w:fill="FFFFFF"/>
        <w:spacing w:before="240" w:beforeAutospacing="0" w:after="240" w:afterAutospacing="0" w:line="373" w:lineRule="atLeast"/>
        <w:rPr>
          <w:rFonts w:ascii="Nunito" w:hAnsi="Nunito"/>
          <w:color w:val="4B4B4B"/>
          <w:sz w:val="27"/>
          <w:szCs w:val="27"/>
        </w:rPr>
      </w:pPr>
      <w:r>
        <w:rPr>
          <w:rFonts w:ascii="Nunito" w:hAnsi="Nunito"/>
          <w:color w:val="4B4B4B"/>
          <w:sz w:val="27"/>
          <w:szCs w:val="27"/>
        </w:rPr>
        <w:t>Another intent is for our learners to master the art of managing their current and future financial capabilities. It enables individuals to enhance their career pathway abilities to enter the world of work in finance, accounting, marketing, human relations, operations, or management within a wide range of business entities.  </w:t>
      </w:r>
    </w:p>
    <w:p w14:paraId="2A9FB964" w14:textId="77777777" w:rsidR="001F08B9" w:rsidRDefault="001F08B9" w:rsidP="001F08B9">
      <w:pPr>
        <w:pStyle w:val="NormalWeb"/>
        <w:shd w:val="clear" w:color="auto" w:fill="FFFFFF"/>
        <w:spacing w:before="240" w:beforeAutospacing="0" w:after="240" w:afterAutospacing="0" w:line="373" w:lineRule="atLeast"/>
        <w:rPr>
          <w:rFonts w:ascii="Nunito" w:hAnsi="Nunito"/>
          <w:color w:val="4B4B4B"/>
          <w:sz w:val="27"/>
          <w:szCs w:val="27"/>
        </w:rPr>
      </w:pPr>
      <w:r>
        <w:rPr>
          <w:rFonts w:ascii="Nunito" w:hAnsi="Nunito"/>
          <w:color w:val="4B4B4B"/>
          <w:sz w:val="27"/>
          <w:szCs w:val="27"/>
        </w:rPr>
        <w:t>Our courses also provide valuable opportunities to develop key skills such as information communication technology, numeracy, team working and communication, confidence, and other inter-personal skills. Finally, our clear pathway provisions strategically woven into our exceptional curriculum content delivery have always meant that many of our students who take Business, Economics and or LIBF Financial Studies in our Sixth Form go on to study either in a higher education institution or take on a higher-level Apprenticeship provision. We welcome you on this exciting journey! </w:t>
      </w:r>
    </w:p>
    <w:p w14:paraId="4C980207" w14:textId="77777777" w:rsidR="001F08B9" w:rsidRDefault="001F08B9" w:rsidP="001F08B9">
      <w:pPr>
        <w:pStyle w:val="NormalWeb"/>
        <w:shd w:val="clear" w:color="auto" w:fill="FFFFFF"/>
        <w:spacing w:before="240" w:beforeAutospacing="0" w:after="240" w:afterAutospacing="0" w:line="373" w:lineRule="atLeast"/>
        <w:rPr>
          <w:rFonts w:ascii="Nunito" w:hAnsi="Nunito"/>
          <w:b/>
          <w:bCs/>
          <w:color w:val="4B4B4B"/>
          <w:sz w:val="27"/>
          <w:szCs w:val="27"/>
        </w:rPr>
      </w:pPr>
      <w:r w:rsidRPr="00827FA7">
        <w:rPr>
          <w:rFonts w:ascii="Nunito" w:hAnsi="Nunito"/>
          <w:b/>
          <w:bCs/>
          <w:color w:val="4B4B4B"/>
          <w:sz w:val="27"/>
          <w:szCs w:val="27"/>
        </w:rPr>
        <w:t xml:space="preserve">Examination </w:t>
      </w:r>
    </w:p>
    <w:p w14:paraId="7E929211" w14:textId="2629D20A" w:rsidR="001F08B9" w:rsidRPr="00827FA7" w:rsidRDefault="001F08B9" w:rsidP="001F08B9">
      <w:pPr>
        <w:pStyle w:val="NormalWeb"/>
        <w:shd w:val="clear" w:color="auto" w:fill="F2F2F2"/>
        <w:spacing w:before="240" w:beforeAutospacing="0" w:after="240" w:afterAutospacing="0" w:line="373" w:lineRule="atLeast"/>
        <w:rPr>
          <w:rFonts w:ascii="Nunito" w:hAnsi="Nunito"/>
          <w:color w:val="4B4B4B"/>
        </w:rPr>
      </w:pPr>
      <w:r w:rsidRPr="00827FA7">
        <w:rPr>
          <w:rFonts w:ascii="Nunito" w:hAnsi="Nunito"/>
          <w:color w:val="4B4B4B"/>
        </w:rPr>
        <w:t>Edexcel GCSE Business assessment is split into two exams that are sat at the end of Year 11. This course is assessed by 100% exams.</w:t>
      </w:r>
      <w:r w:rsidRPr="00827FA7">
        <w:rPr>
          <w:color w:val="4B4B4B"/>
        </w:rPr>
        <w:t> </w:t>
      </w:r>
      <w:r w:rsidRPr="00827FA7">
        <w:rPr>
          <w:rFonts w:ascii="Nunito" w:hAnsi="Nunito"/>
          <w:color w:val="4B4B4B"/>
        </w:rPr>
        <w:t xml:space="preserve"> There is only 1 tier of entry, and the course is split into two units of work. </w:t>
      </w:r>
    </w:p>
    <w:p w14:paraId="57FA99F9" w14:textId="77777777" w:rsidR="001F08B9" w:rsidRPr="00827FA7" w:rsidRDefault="001F08B9" w:rsidP="001F08B9">
      <w:pPr>
        <w:pStyle w:val="NormalWeb"/>
        <w:shd w:val="clear" w:color="auto" w:fill="F2F2F2"/>
        <w:spacing w:before="240" w:beforeAutospacing="0" w:after="240" w:afterAutospacing="0" w:line="373" w:lineRule="atLeast"/>
        <w:ind w:left="360"/>
        <w:jc w:val="both"/>
        <w:rPr>
          <w:rFonts w:ascii="Nunito" w:hAnsi="Nunito"/>
          <w:color w:val="4B4B4B"/>
        </w:rPr>
      </w:pPr>
      <w:r w:rsidRPr="00827FA7">
        <w:rPr>
          <w:rFonts w:ascii="Nunito" w:hAnsi="Nunito"/>
          <w:color w:val="4B4B4B"/>
        </w:rPr>
        <w:lastRenderedPageBreak/>
        <w:t>Theme 1 - Investigating Small Businesses -</w:t>
      </w:r>
      <w:r w:rsidRPr="00827FA7">
        <w:rPr>
          <w:color w:val="4B4B4B"/>
        </w:rPr>
        <w:t> </w:t>
      </w:r>
      <w:r w:rsidRPr="00827FA7">
        <w:rPr>
          <w:rFonts w:ascii="Nunito" w:hAnsi="Nunito"/>
          <w:color w:val="4B4B4B"/>
        </w:rPr>
        <w:t xml:space="preserve">worth 50% of the total GCSE - 1 hour 30-minute </w:t>
      </w:r>
      <w:proofErr w:type="gramStart"/>
      <w:r w:rsidRPr="00827FA7">
        <w:rPr>
          <w:rFonts w:ascii="Nunito" w:hAnsi="Nunito"/>
          <w:color w:val="4B4B4B"/>
        </w:rPr>
        <w:t>exams</w:t>
      </w:r>
      <w:proofErr w:type="gramEnd"/>
      <w:r w:rsidRPr="00827FA7">
        <w:rPr>
          <w:rFonts w:ascii="Nunito" w:hAnsi="Nunito" w:cs="Nunito"/>
          <w:color w:val="4B4B4B"/>
        </w:rPr>
        <w:t> </w:t>
      </w:r>
    </w:p>
    <w:p w14:paraId="43F1D2C7" w14:textId="77777777" w:rsidR="001F08B9" w:rsidRDefault="001F08B9" w:rsidP="001F08B9">
      <w:pPr>
        <w:pStyle w:val="NormalWeb"/>
        <w:shd w:val="clear" w:color="auto" w:fill="F2F2F2"/>
        <w:spacing w:before="240" w:beforeAutospacing="0" w:after="240" w:afterAutospacing="0" w:line="373" w:lineRule="atLeast"/>
        <w:ind w:left="360"/>
        <w:jc w:val="both"/>
        <w:rPr>
          <w:rFonts w:ascii="Nunito" w:hAnsi="Nunito"/>
          <w:color w:val="4B4B4B"/>
        </w:rPr>
      </w:pPr>
      <w:r w:rsidRPr="00827FA7">
        <w:rPr>
          <w:rFonts w:ascii="Nunito" w:hAnsi="Nunito"/>
          <w:color w:val="4B4B4B"/>
        </w:rPr>
        <w:t>Theme 2 - Building a Business -</w:t>
      </w:r>
      <w:r w:rsidRPr="00827FA7">
        <w:rPr>
          <w:color w:val="4B4B4B"/>
        </w:rPr>
        <w:t> </w:t>
      </w:r>
      <w:r w:rsidRPr="00827FA7">
        <w:rPr>
          <w:rFonts w:ascii="Nunito" w:hAnsi="Nunito"/>
          <w:color w:val="4B4B4B"/>
        </w:rPr>
        <w:t xml:space="preserve">worth 50% of the total GCSE - 1 hour </w:t>
      </w:r>
      <w:proofErr w:type="gramStart"/>
      <w:r w:rsidRPr="00827FA7">
        <w:rPr>
          <w:rFonts w:ascii="Nunito" w:hAnsi="Nunito"/>
          <w:color w:val="4B4B4B"/>
        </w:rPr>
        <w:t>30 minute</w:t>
      </w:r>
      <w:proofErr w:type="gramEnd"/>
      <w:r w:rsidRPr="00827FA7">
        <w:rPr>
          <w:rFonts w:ascii="Nunito" w:hAnsi="Nunito"/>
          <w:color w:val="4B4B4B"/>
        </w:rPr>
        <w:t xml:space="preserve"> exams </w:t>
      </w:r>
    </w:p>
    <w:p w14:paraId="64FA856C" w14:textId="77777777" w:rsidR="00A823E7" w:rsidRDefault="00A823E7"/>
    <w:sectPr w:rsidR="00A823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B9"/>
    <w:rsid w:val="001F08B9"/>
    <w:rsid w:val="00400AB6"/>
    <w:rsid w:val="00A82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66C"/>
  <w15:chartTrackingRefBased/>
  <w15:docId w15:val="{B9AB42FE-7F47-46DA-AF96-F4CDA577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8B9"/>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CCC5997E091145B3A80D5E3EE6E7AE" ma:contentTypeVersion="13" ma:contentTypeDescription="Create a new document." ma:contentTypeScope="" ma:versionID="d73747fa987e7bafb88bd3061b6127e7">
  <xsd:schema xmlns:xsd="http://www.w3.org/2001/XMLSchema" xmlns:xs="http://www.w3.org/2001/XMLSchema" xmlns:p="http://schemas.microsoft.com/office/2006/metadata/properties" xmlns:ns2="d3e07e05-5c11-4eed-a285-4c9cf94806a1" xmlns:ns3="a24f11dc-7e8e-4237-820d-ef3cbb44df61" targetNamespace="http://schemas.microsoft.com/office/2006/metadata/properties" ma:root="true" ma:fieldsID="7e44506f596e97f80e039f3a28173ec8" ns2:_="" ns3:_="">
    <xsd:import namespace="d3e07e05-5c11-4eed-a285-4c9cf94806a1"/>
    <xsd:import namespace="a24f11dc-7e8e-4237-820d-ef3cbb44df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07e05-5c11-4eed-a285-4c9cf9480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f11dc-7e8e-4237-820d-ef3cbb44df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88C0FB-AA63-480A-9888-28BD01F26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07e05-5c11-4eed-a285-4c9cf94806a1"/>
    <ds:schemaRef ds:uri="a24f11dc-7e8e-4237-820d-ef3cbb44d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7A29F-C50E-44EE-B28A-3F80C0D77BD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24f11dc-7e8e-4237-820d-ef3cbb44df61"/>
    <ds:schemaRef ds:uri="d3e07e05-5c11-4eed-a285-4c9cf94806a1"/>
    <ds:schemaRef ds:uri="http://www.w3.org/XML/1998/namespace"/>
    <ds:schemaRef ds:uri="http://purl.org/dc/dcmitype/"/>
  </ds:schemaRefs>
</ds:datastoreItem>
</file>

<file path=customXml/itemProps3.xml><?xml version="1.0" encoding="utf-8"?>
<ds:datastoreItem xmlns:ds="http://schemas.openxmlformats.org/officeDocument/2006/customXml" ds:itemID="{41FA083B-CB23-47D8-AD45-91CC3268BE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W.James</dc:creator>
  <cp:keywords/>
  <dc:description/>
  <cp:lastModifiedBy>J.Kavanagh</cp:lastModifiedBy>
  <cp:revision>2</cp:revision>
  <dcterms:created xsi:type="dcterms:W3CDTF">2023-09-15T09:05:00Z</dcterms:created>
  <dcterms:modified xsi:type="dcterms:W3CDTF">2023-09-15T09:05:00Z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0x010100E5CCC5997E091145B3A80D5E3EE6E7AE</vt:lpwstr>
  </property>
</Properties>
</file>