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463"/>
        <w:gridCol w:w="2835"/>
        <w:gridCol w:w="2693"/>
        <w:gridCol w:w="2835"/>
        <w:gridCol w:w="2126"/>
        <w:gridCol w:w="2281"/>
      </w:tblGrid>
      <w:tr w:rsidR="00093E30" w14:paraId="174DB0F3" w14:textId="77777777" w:rsidTr="00BF3918">
        <w:trPr>
          <w:trHeight w:val="517"/>
        </w:trPr>
        <w:tc>
          <w:tcPr>
            <w:tcW w:w="15771" w:type="dxa"/>
            <w:gridSpan w:val="7"/>
          </w:tcPr>
          <w:p w14:paraId="7971A180" w14:textId="4E781FE9" w:rsidR="00093E30" w:rsidRDefault="00093E30" w:rsidP="00BF3918">
            <w:pPr>
              <w:pStyle w:val="TableParagraph"/>
              <w:spacing w:line="270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7B7B"/>
                <w:sz w:val="24"/>
              </w:rPr>
              <w:t xml:space="preserve">KS4                                                                                   Subject: GCSE </w:t>
            </w:r>
            <w:r w:rsidR="00903461">
              <w:rPr>
                <w:rFonts w:ascii="Arial" w:hAnsi="Arial"/>
                <w:b/>
                <w:color w:val="007B7B"/>
                <w:sz w:val="24"/>
              </w:rPr>
              <w:t>Spanish</w:t>
            </w:r>
            <w:r w:rsidR="00762EFB">
              <w:rPr>
                <w:rFonts w:ascii="Arial" w:hAnsi="Arial"/>
                <w:b/>
                <w:color w:val="007B7B"/>
                <w:sz w:val="24"/>
              </w:rPr>
              <w:t xml:space="preserve"> Year 11</w:t>
            </w:r>
          </w:p>
        </w:tc>
      </w:tr>
      <w:tr w:rsidR="00093E30" w14:paraId="6AA9D7F1" w14:textId="77777777" w:rsidTr="00BF3918">
        <w:trPr>
          <w:trHeight w:val="1159"/>
        </w:trPr>
        <w:tc>
          <w:tcPr>
            <w:tcW w:w="538" w:type="dxa"/>
            <w:shd w:val="clear" w:color="auto" w:fill="79133E"/>
            <w:textDirection w:val="btLr"/>
          </w:tcPr>
          <w:p w14:paraId="1A8A2116" w14:textId="77777777" w:rsidR="00093E30" w:rsidRDefault="00093E30" w:rsidP="00BF3918">
            <w:pPr>
              <w:pStyle w:val="TableParagraph"/>
              <w:spacing w:before="110"/>
              <w:ind w:left="28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Intent</w:t>
            </w:r>
          </w:p>
        </w:tc>
        <w:tc>
          <w:tcPr>
            <w:tcW w:w="15233" w:type="dxa"/>
            <w:gridSpan w:val="6"/>
          </w:tcPr>
          <w:p w14:paraId="3265F15E" w14:textId="77777777" w:rsidR="004834C4" w:rsidRDefault="004834C4" w:rsidP="00BF3918">
            <w:pPr>
              <w:spacing w:line="194" w:lineRule="exact"/>
              <w:jc w:val="both"/>
              <w:rPr>
                <w:rFonts w:asciiTheme="minorHAnsi" w:hAnsiTheme="minorHAnsi" w:cstheme="minorHAnsi"/>
              </w:rPr>
            </w:pPr>
          </w:p>
          <w:p w14:paraId="4E065862" w14:textId="283C7DBE" w:rsidR="00137183" w:rsidRDefault="00CD1C1A" w:rsidP="00BF3918">
            <w:pPr>
              <w:spacing w:line="194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 11 Spanish curriculum </w:t>
            </w:r>
            <w:r w:rsidR="007655AB">
              <w:rPr>
                <w:rFonts w:asciiTheme="minorHAnsi" w:hAnsiTheme="minorHAnsi" w:cstheme="minorHAnsi"/>
              </w:rPr>
              <w:t>refines and broadens students’ knowledge and understanding of the</w:t>
            </w:r>
            <w:r w:rsidR="00133A28">
              <w:rPr>
                <w:rFonts w:asciiTheme="minorHAnsi" w:hAnsiTheme="minorHAnsi" w:cstheme="minorHAnsi"/>
              </w:rPr>
              <w:t xml:space="preserve"> </w:t>
            </w:r>
            <w:r w:rsidR="007655AB">
              <w:rPr>
                <w:rFonts w:asciiTheme="minorHAnsi" w:hAnsiTheme="minorHAnsi" w:cstheme="minorHAnsi"/>
              </w:rPr>
              <w:t>skills required at AQA GCSE.</w:t>
            </w:r>
            <w:r w:rsidR="003C1B4F">
              <w:rPr>
                <w:rFonts w:asciiTheme="minorHAnsi" w:hAnsiTheme="minorHAnsi" w:cstheme="minorHAnsi"/>
              </w:rPr>
              <w:t xml:space="preserve"> </w:t>
            </w:r>
            <w:r w:rsidR="0061428E">
              <w:rPr>
                <w:rFonts w:asciiTheme="minorHAnsi" w:hAnsiTheme="minorHAnsi" w:cstheme="minorHAnsi"/>
              </w:rPr>
              <w:t>The content of the KS4 Spanish course is reflective of the AQA Spanish specification</w:t>
            </w:r>
            <w:r w:rsidR="004834C4">
              <w:rPr>
                <w:rFonts w:asciiTheme="minorHAnsi" w:hAnsiTheme="minorHAnsi" w:cstheme="minorHAnsi"/>
              </w:rPr>
              <w:t xml:space="preserve"> and builds </w:t>
            </w:r>
            <w:r w:rsidR="00133A28">
              <w:rPr>
                <w:rFonts w:asciiTheme="minorHAnsi" w:hAnsiTheme="minorHAnsi" w:cstheme="minorHAnsi"/>
              </w:rPr>
              <w:t>upon</w:t>
            </w:r>
            <w:r w:rsidR="004834C4">
              <w:rPr>
                <w:rFonts w:asciiTheme="minorHAnsi" w:hAnsiTheme="minorHAnsi" w:cstheme="minorHAnsi"/>
              </w:rPr>
              <w:t xml:space="preserve"> students’ prior</w:t>
            </w:r>
            <w:r w:rsidR="00133A28">
              <w:rPr>
                <w:rFonts w:asciiTheme="minorHAnsi" w:hAnsiTheme="minorHAnsi" w:cstheme="minorHAnsi"/>
              </w:rPr>
              <w:t xml:space="preserve"> linguistic</w:t>
            </w:r>
            <w:r w:rsidR="004834C4">
              <w:rPr>
                <w:rFonts w:asciiTheme="minorHAnsi" w:hAnsiTheme="minorHAnsi" w:cstheme="minorHAnsi"/>
              </w:rPr>
              <w:t xml:space="preserve"> knowledge acquired at KS3</w:t>
            </w:r>
            <w:r w:rsidR="00C11FA9">
              <w:rPr>
                <w:rFonts w:asciiTheme="minorHAnsi" w:hAnsiTheme="minorHAnsi" w:cstheme="minorHAnsi"/>
              </w:rPr>
              <w:t xml:space="preserve"> and KS</w:t>
            </w:r>
            <w:r w:rsidR="00B12711">
              <w:rPr>
                <w:rFonts w:asciiTheme="minorHAnsi" w:hAnsiTheme="minorHAnsi" w:cstheme="minorHAnsi"/>
              </w:rPr>
              <w:t>4</w:t>
            </w:r>
            <w:r w:rsidR="00133A28">
              <w:rPr>
                <w:rFonts w:asciiTheme="minorHAnsi" w:hAnsiTheme="minorHAnsi" w:cstheme="minorHAnsi"/>
              </w:rPr>
              <w:t xml:space="preserve"> and upon the assessment objectives (AO 1-4 -Listening, speaking, reading and writing)</w:t>
            </w:r>
            <w:r w:rsidR="004834C4">
              <w:rPr>
                <w:rFonts w:asciiTheme="minorHAnsi" w:hAnsiTheme="minorHAnsi" w:cstheme="minorHAnsi"/>
              </w:rPr>
              <w:t>.</w:t>
            </w:r>
            <w:r w:rsidR="0061428E">
              <w:rPr>
                <w:rFonts w:asciiTheme="minorHAnsi" w:hAnsiTheme="minorHAnsi" w:cstheme="minorHAnsi"/>
              </w:rPr>
              <w:t xml:space="preserve"> </w:t>
            </w:r>
            <w:r w:rsidR="004834C4">
              <w:rPr>
                <w:rFonts w:asciiTheme="minorHAnsi" w:hAnsiTheme="minorHAnsi" w:cstheme="minorHAnsi"/>
              </w:rPr>
              <w:t xml:space="preserve">It </w:t>
            </w:r>
            <w:r w:rsidR="0061428E">
              <w:rPr>
                <w:rFonts w:asciiTheme="minorHAnsi" w:hAnsiTheme="minorHAnsi" w:cstheme="minorHAnsi"/>
              </w:rPr>
              <w:t xml:space="preserve">is carefully sequenced </w:t>
            </w:r>
            <w:r w:rsidR="00BC15DC">
              <w:rPr>
                <w:rFonts w:asciiTheme="minorHAnsi" w:hAnsiTheme="minorHAnsi" w:cstheme="minorHAnsi"/>
              </w:rPr>
              <w:t xml:space="preserve">and progressive </w:t>
            </w:r>
            <w:r w:rsidR="0061428E">
              <w:rPr>
                <w:rFonts w:asciiTheme="minorHAnsi" w:hAnsiTheme="minorHAnsi" w:cstheme="minorHAnsi"/>
              </w:rPr>
              <w:t>to</w:t>
            </w:r>
            <w:r w:rsidR="00920B61">
              <w:rPr>
                <w:rFonts w:asciiTheme="minorHAnsi" w:hAnsiTheme="minorHAnsi" w:cstheme="minorHAnsi"/>
              </w:rPr>
              <w:t xml:space="preserve"> help students to</w:t>
            </w:r>
            <w:r w:rsidR="0061428E">
              <w:rPr>
                <w:rFonts w:asciiTheme="minorHAnsi" w:hAnsiTheme="minorHAnsi" w:cstheme="minorHAnsi"/>
              </w:rPr>
              <w:t xml:space="preserve"> </w:t>
            </w:r>
            <w:r w:rsidR="00920B61">
              <w:rPr>
                <w:rFonts w:asciiTheme="minorHAnsi" w:hAnsiTheme="minorHAnsi" w:cstheme="minorHAnsi"/>
              </w:rPr>
              <w:t xml:space="preserve">widen their </w:t>
            </w:r>
            <w:r w:rsidR="0061428E">
              <w:rPr>
                <w:rFonts w:asciiTheme="minorHAnsi" w:hAnsiTheme="minorHAnsi" w:cstheme="minorHAnsi"/>
              </w:rPr>
              <w:t>language skills (in listening, reading, writing and speaking)</w:t>
            </w:r>
            <w:r w:rsidR="00920B61">
              <w:rPr>
                <w:rFonts w:asciiTheme="minorHAnsi" w:hAnsiTheme="minorHAnsi" w:cstheme="minorHAnsi"/>
              </w:rPr>
              <w:t xml:space="preserve"> enabling them to communicate confidently in speech and writing. </w:t>
            </w:r>
          </w:p>
          <w:p w14:paraId="4F2C7A24" w14:textId="77777777" w:rsidR="00DC219F" w:rsidRDefault="00DC219F" w:rsidP="00DC219F">
            <w:pPr>
              <w:spacing w:line="194" w:lineRule="exact"/>
              <w:jc w:val="both"/>
              <w:rPr>
                <w:rFonts w:cstheme="minorHAnsi"/>
              </w:rPr>
            </w:pPr>
          </w:p>
          <w:p w14:paraId="1E992700" w14:textId="7C511F58" w:rsidR="00DC219F" w:rsidRDefault="00DC219F" w:rsidP="00DC219F">
            <w:pPr>
              <w:spacing w:line="194" w:lineRule="exac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All lessons are individualised and appropriately differentiated to ensure that all students achieve highest standards. </w:t>
            </w:r>
          </w:p>
          <w:p w14:paraId="06F921FA" w14:textId="77777777" w:rsidR="00DC219F" w:rsidRDefault="00DC219F" w:rsidP="00BF3918">
            <w:pPr>
              <w:spacing w:line="194" w:lineRule="exact"/>
              <w:jc w:val="both"/>
              <w:rPr>
                <w:rFonts w:asciiTheme="minorHAnsi" w:hAnsiTheme="minorHAnsi" w:cstheme="minorHAnsi"/>
              </w:rPr>
            </w:pPr>
          </w:p>
          <w:p w14:paraId="72A3EB2E" w14:textId="03BB9316" w:rsidR="00903461" w:rsidRDefault="0099514A" w:rsidP="00BF3918">
            <w:pPr>
              <w:spacing w:line="194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By the end of year 11, students should have a clear understanding of all aspects of the GCSE course.</w:t>
            </w:r>
            <w:r w:rsidR="0061428E">
              <w:rPr>
                <w:rFonts w:asciiTheme="minorHAnsi" w:hAnsiTheme="minorHAnsi" w:cstheme="minorHAnsi"/>
              </w:rPr>
              <w:t xml:space="preserve"> </w:t>
            </w:r>
          </w:p>
          <w:p w14:paraId="6A9A1CAE" w14:textId="77777777" w:rsidR="00093E30" w:rsidRDefault="00093E30" w:rsidP="00BF3918">
            <w:pPr>
              <w:spacing w:line="194" w:lineRule="exact"/>
              <w:rPr>
                <w:rFonts w:asciiTheme="minorHAnsi" w:hAnsiTheme="minorHAnsi" w:cstheme="minorHAnsi"/>
              </w:rPr>
            </w:pPr>
          </w:p>
          <w:p w14:paraId="354B3D77" w14:textId="261639DB" w:rsidR="00093E30" w:rsidRDefault="00093E30" w:rsidP="00BF3918">
            <w:pPr>
              <w:spacing w:line="194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 November individual targeted intervention will be provided to fill further specific needs and gaps and to refine skills required for the GCSEs</w:t>
            </w:r>
            <w:r w:rsidR="00202F5F">
              <w:rPr>
                <w:rFonts w:asciiTheme="minorHAnsi" w:hAnsiTheme="minorHAnsi" w:cstheme="minorHAnsi"/>
              </w:rPr>
              <w:t>.</w:t>
            </w:r>
          </w:p>
          <w:p w14:paraId="2281DA8B" w14:textId="77777777" w:rsidR="00093E30" w:rsidRDefault="00093E30" w:rsidP="00BF3918">
            <w:pPr>
              <w:spacing w:line="194" w:lineRule="exact"/>
              <w:rPr>
                <w:rFonts w:asciiTheme="minorHAnsi" w:hAnsiTheme="minorHAnsi" w:cstheme="minorHAnsi"/>
              </w:rPr>
            </w:pPr>
          </w:p>
        </w:tc>
      </w:tr>
      <w:tr w:rsidR="00093E30" w14:paraId="0116871B" w14:textId="77777777" w:rsidTr="00BF3918">
        <w:trPr>
          <w:trHeight w:val="410"/>
        </w:trPr>
        <w:tc>
          <w:tcPr>
            <w:tcW w:w="538" w:type="dxa"/>
            <w:vMerge w:val="restart"/>
            <w:shd w:val="clear" w:color="auto" w:fill="79133E"/>
            <w:textDirection w:val="btLr"/>
          </w:tcPr>
          <w:p w14:paraId="10CE2367" w14:textId="77777777" w:rsidR="00093E30" w:rsidRDefault="00093E30" w:rsidP="00BF3918">
            <w:pPr>
              <w:pStyle w:val="TableParagraph"/>
              <w:spacing w:before="130"/>
              <w:ind w:left="2304" w:right="229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Implementation</w:t>
            </w:r>
          </w:p>
        </w:tc>
        <w:tc>
          <w:tcPr>
            <w:tcW w:w="5298" w:type="dxa"/>
            <w:gridSpan w:val="2"/>
          </w:tcPr>
          <w:p w14:paraId="4F30DAA4" w14:textId="77777777" w:rsidR="00093E30" w:rsidRDefault="00093E30" w:rsidP="00BF3918">
            <w:pPr>
              <w:pStyle w:val="TableParagraph"/>
              <w:spacing w:before="72"/>
              <w:ind w:left="1168"/>
              <w:rPr>
                <w:rFonts w:ascii="Arial"/>
                <w:b/>
                <w:color w:val="007B7B"/>
              </w:rPr>
            </w:pPr>
            <w:r>
              <w:rPr>
                <w:rFonts w:ascii="Arial"/>
                <w:b/>
                <w:color w:val="007B7B"/>
              </w:rPr>
              <w:t>September</w:t>
            </w:r>
            <w:r>
              <w:rPr>
                <w:rFonts w:ascii="Arial"/>
                <w:b/>
                <w:color w:val="007B7B"/>
                <w:spacing w:val="-1"/>
              </w:rPr>
              <w:t xml:space="preserve"> </w:t>
            </w:r>
            <w:r>
              <w:rPr>
                <w:rFonts w:ascii="Arial"/>
                <w:b/>
                <w:color w:val="007B7B"/>
              </w:rPr>
              <w:t>-</w:t>
            </w:r>
            <w:r>
              <w:rPr>
                <w:rFonts w:ascii="Arial"/>
                <w:b/>
                <w:color w:val="007B7B"/>
                <w:spacing w:val="-1"/>
              </w:rPr>
              <w:t xml:space="preserve"> </w:t>
            </w:r>
            <w:r>
              <w:rPr>
                <w:rFonts w:ascii="Arial"/>
                <w:b/>
                <w:color w:val="007B7B"/>
              </w:rPr>
              <w:t>December</w:t>
            </w:r>
          </w:p>
        </w:tc>
        <w:tc>
          <w:tcPr>
            <w:tcW w:w="5528" w:type="dxa"/>
            <w:gridSpan w:val="2"/>
          </w:tcPr>
          <w:p w14:paraId="2040B692" w14:textId="77777777" w:rsidR="00093E30" w:rsidRDefault="00093E30" w:rsidP="00BF3918">
            <w:pPr>
              <w:pStyle w:val="TableParagraph"/>
              <w:spacing w:before="72"/>
              <w:ind w:left="1705"/>
              <w:rPr>
                <w:rFonts w:ascii="Arial"/>
                <w:b/>
                <w:color w:val="007B7B"/>
              </w:rPr>
            </w:pPr>
            <w:r>
              <w:rPr>
                <w:rFonts w:ascii="Arial"/>
                <w:b/>
                <w:color w:val="007B7B"/>
              </w:rPr>
              <w:t>January</w:t>
            </w:r>
            <w:r>
              <w:rPr>
                <w:rFonts w:ascii="Arial"/>
                <w:b/>
                <w:color w:val="007B7B"/>
                <w:spacing w:val="1"/>
              </w:rPr>
              <w:t xml:space="preserve"> </w:t>
            </w:r>
            <w:r>
              <w:rPr>
                <w:rFonts w:ascii="Arial"/>
                <w:b/>
                <w:color w:val="007B7B"/>
              </w:rPr>
              <w:t>-</w:t>
            </w:r>
            <w:r>
              <w:rPr>
                <w:rFonts w:ascii="Arial"/>
                <w:b/>
                <w:color w:val="007B7B"/>
                <w:spacing w:val="-2"/>
              </w:rPr>
              <w:t xml:space="preserve"> </w:t>
            </w:r>
            <w:r>
              <w:rPr>
                <w:rFonts w:ascii="Arial"/>
                <w:b/>
                <w:color w:val="007B7B"/>
              </w:rPr>
              <w:t>March</w:t>
            </w:r>
          </w:p>
        </w:tc>
        <w:tc>
          <w:tcPr>
            <w:tcW w:w="4407" w:type="dxa"/>
            <w:gridSpan w:val="2"/>
          </w:tcPr>
          <w:p w14:paraId="6DA8D594" w14:textId="77777777" w:rsidR="00093E30" w:rsidRDefault="00093E30" w:rsidP="00BF3918">
            <w:pPr>
              <w:pStyle w:val="TableParagraph"/>
              <w:spacing w:before="72"/>
              <w:ind w:left="1705"/>
              <w:rPr>
                <w:rFonts w:ascii="Arial"/>
                <w:b/>
                <w:color w:val="007B7B"/>
              </w:rPr>
            </w:pPr>
            <w:r>
              <w:rPr>
                <w:rFonts w:ascii="Arial"/>
                <w:b/>
                <w:color w:val="007B7B"/>
              </w:rPr>
              <w:t>April - July</w:t>
            </w:r>
          </w:p>
        </w:tc>
      </w:tr>
      <w:tr w:rsidR="00093E30" w14:paraId="2BB041E3" w14:textId="77777777" w:rsidTr="00BF3918">
        <w:trPr>
          <w:trHeight w:val="4288"/>
        </w:trPr>
        <w:tc>
          <w:tcPr>
            <w:tcW w:w="538" w:type="dxa"/>
            <w:vMerge/>
            <w:textDirection w:val="btLr"/>
          </w:tcPr>
          <w:p w14:paraId="5849BF7E" w14:textId="77777777" w:rsidR="00093E30" w:rsidRDefault="00093E30" w:rsidP="00BF3918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 w:val="restart"/>
          </w:tcPr>
          <w:p w14:paraId="204436D1" w14:textId="77777777" w:rsidR="00093E30" w:rsidRPr="00624377" w:rsidRDefault="00093E30" w:rsidP="00BF391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Topic: </w:t>
            </w:r>
          </w:p>
          <w:p w14:paraId="73F7C065" w14:textId="2C86E307" w:rsidR="00093E30" w:rsidRPr="00927561" w:rsidRDefault="003A02E4" w:rsidP="00BF391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Theme 1: Identity and Culture</w:t>
            </w:r>
            <w:r w:rsidR="00093E30"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E293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(Paper 1-4)</w:t>
            </w:r>
          </w:p>
          <w:p w14:paraId="029CE60B" w14:textId="77777777" w:rsidR="00093E30" w:rsidRPr="00624377" w:rsidRDefault="00093E30" w:rsidP="00BF391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831F781" w14:textId="5A022E94" w:rsidR="00093E30" w:rsidRPr="00624377" w:rsidRDefault="00093E30" w:rsidP="00BF391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7E293E">
              <w:rPr>
                <w:rFonts w:asciiTheme="minorHAnsi" w:hAnsiTheme="minorHAnsi" w:cstheme="minorHAnsi"/>
                <w:sz w:val="20"/>
                <w:szCs w:val="20"/>
              </w:rPr>
              <w:t>Topic 1: Me, my family and friends: Relationships with family and friends / marriage &amp; partnership</w:t>
            </w:r>
          </w:p>
          <w:p w14:paraId="0FF102F5" w14:textId="77777777" w:rsidR="00093E30" w:rsidRPr="00624377" w:rsidRDefault="00093E30" w:rsidP="00BF391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B8FCE3" w14:textId="456A64E1" w:rsidR="00093E30" w:rsidRPr="007E293E" w:rsidRDefault="007E293E" w:rsidP="00BF391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Topic 2: Technology in everyday life: social media / mobile technology </w:t>
            </w:r>
          </w:p>
          <w:p w14:paraId="30CA3841" w14:textId="77777777" w:rsidR="00093E30" w:rsidRPr="00624377" w:rsidRDefault="00093E30" w:rsidP="00BF391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94CDA34" w14:textId="71D6E389" w:rsidR="007E293E" w:rsidRPr="007E293E" w:rsidRDefault="007E293E" w:rsidP="007E293E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Topic 3: Free-time activities: Music / Cinema &amp; TV / Food and eating out / sport </w:t>
            </w:r>
          </w:p>
          <w:p w14:paraId="145BE618" w14:textId="77777777" w:rsidR="007E293E" w:rsidRPr="00624377" w:rsidRDefault="007E293E" w:rsidP="007E293E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0520266" w14:textId="77777777" w:rsidR="00093E30" w:rsidRPr="00624377" w:rsidRDefault="00093E30" w:rsidP="00BF391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32F46B" w14:textId="77777777" w:rsidR="00093E30" w:rsidRPr="00624377" w:rsidRDefault="00093E30" w:rsidP="00BF391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Concepts: </w:t>
            </w:r>
          </w:p>
          <w:p w14:paraId="0B12A8B5" w14:textId="1F5C976F" w:rsidR="007E293E" w:rsidRDefault="00093E30" w:rsidP="007E293E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AO1 – </w:t>
            </w:r>
            <w:r w:rsidR="007E293E">
              <w:rPr>
                <w:rFonts w:asciiTheme="minorHAnsi" w:hAnsiTheme="minorHAnsi" w:cstheme="minorHAnsi"/>
                <w:sz w:val="20"/>
                <w:szCs w:val="20"/>
              </w:rPr>
              <w:t>Listening</w:t>
            </w:r>
          </w:p>
          <w:p w14:paraId="1331C1A8" w14:textId="289DBF3C" w:rsidR="007E293E" w:rsidRDefault="007E293E" w:rsidP="007E293E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>• AO</w:t>
            </w:r>
            <w:r w:rsidR="008C45D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8C45DB">
              <w:rPr>
                <w:rFonts w:asciiTheme="minorHAnsi" w:hAnsiTheme="minorHAnsi" w:cstheme="minorHAnsi"/>
                <w:sz w:val="20"/>
                <w:szCs w:val="20"/>
              </w:rPr>
              <w:t>Speaking</w:t>
            </w:r>
          </w:p>
          <w:p w14:paraId="46BE3551" w14:textId="0D4D61E5" w:rsidR="008C45DB" w:rsidRPr="001D1B9D" w:rsidRDefault="008C45DB" w:rsidP="007E293E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1B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• AO3 – Reading</w:t>
            </w:r>
          </w:p>
          <w:p w14:paraId="6CB14DA7" w14:textId="6C979525" w:rsidR="008C45DB" w:rsidRPr="001D1B9D" w:rsidRDefault="008C45DB" w:rsidP="007E293E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1B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• AO4 – Writing</w:t>
            </w:r>
          </w:p>
          <w:p w14:paraId="7211EF57" w14:textId="5DECF78F" w:rsidR="00093E30" w:rsidRPr="00624377" w:rsidRDefault="00093E30" w:rsidP="007E293E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17D3BE" w14:textId="77777777" w:rsidR="00093E30" w:rsidRPr="00624377" w:rsidRDefault="00093E30" w:rsidP="00BF391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E22F2AB" w14:textId="77777777" w:rsidR="00093E30" w:rsidRPr="00624377" w:rsidRDefault="00093E30" w:rsidP="00BF391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43E2F0B" w14:textId="77777777" w:rsidR="00093E30" w:rsidRPr="00624377" w:rsidRDefault="00093E30" w:rsidP="00BF391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04B1B09" w14:textId="77777777" w:rsidR="001D1B9D" w:rsidRPr="00624377" w:rsidRDefault="001D1B9D" w:rsidP="001D1B9D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Topic: </w:t>
            </w:r>
          </w:p>
          <w:p w14:paraId="5C58DC32" w14:textId="77777777" w:rsidR="001D1B9D" w:rsidRPr="00927561" w:rsidRDefault="001D1B9D" w:rsidP="001D1B9D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Theme 1: Identity and Culture</w:t>
            </w: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(Paper 1-4)</w:t>
            </w:r>
          </w:p>
          <w:p w14:paraId="5E9A60A6" w14:textId="3D7AA4AF" w:rsidR="001D1B9D" w:rsidRDefault="001D1B9D" w:rsidP="001D1B9D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58705AD" w14:textId="77777777" w:rsidR="002C601B" w:rsidRDefault="001D1B9D" w:rsidP="001D1B9D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Topic 4: Customs and festivals</w:t>
            </w:r>
            <w:r w:rsidR="002C601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7031EE2E" w14:textId="700D255C" w:rsidR="001D1B9D" w:rsidRDefault="002C601B" w:rsidP="001D1B9D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Spain and customs/ Festivals in Spain and Hispanic Countries</w:t>
            </w:r>
          </w:p>
          <w:p w14:paraId="166318E2" w14:textId="72BE42D5" w:rsidR="00BC1CD1" w:rsidRDefault="00BC1CD1" w:rsidP="001D1B9D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3D3577" w14:textId="77777777" w:rsidR="00BC1CD1" w:rsidRPr="00624377" w:rsidRDefault="00BC1CD1" w:rsidP="00BC1CD1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Topic: </w:t>
            </w:r>
          </w:p>
          <w:p w14:paraId="7838FD2E" w14:textId="37A1FB9C" w:rsidR="00BC1CD1" w:rsidRPr="00927561" w:rsidRDefault="00BC1CD1" w:rsidP="00BC1CD1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Theme 2: Local, national, international and global areas of interest</w:t>
            </w: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(Paper 1-4)</w:t>
            </w:r>
          </w:p>
          <w:p w14:paraId="0816D015" w14:textId="5FB64B88" w:rsidR="00BC1CD1" w:rsidRDefault="00BC1CD1" w:rsidP="001D1B9D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61F4F3" w14:textId="0F1E3A62" w:rsidR="00BC1CD1" w:rsidRDefault="00BC1CD1" w:rsidP="00BC1CD1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Topic 1: Home, town, neighbourhood and region</w:t>
            </w:r>
            <w:r w:rsidR="002C601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5B27D06" w14:textId="634E3643" w:rsidR="002C601B" w:rsidRDefault="002C601B" w:rsidP="00BC1CD1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Home/ Where I live</w:t>
            </w:r>
          </w:p>
          <w:p w14:paraId="637A9FFC" w14:textId="77777777" w:rsidR="001D1B9D" w:rsidRPr="00624377" w:rsidRDefault="001D1B9D" w:rsidP="001D1B9D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588506" w14:textId="77777777" w:rsidR="001D1B9D" w:rsidRPr="00624377" w:rsidRDefault="001D1B9D" w:rsidP="001D1B9D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Concepts: </w:t>
            </w:r>
          </w:p>
          <w:p w14:paraId="48F42865" w14:textId="77777777" w:rsidR="001D1B9D" w:rsidRPr="00B75D01" w:rsidRDefault="001D1B9D" w:rsidP="001D1B9D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5D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• AO1 – Listening</w:t>
            </w:r>
          </w:p>
          <w:p w14:paraId="59BE9636" w14:textId="77777777" w:rsidR="001D1B9D" w:rsidRDefault="001D1B9D" w:rsidP="001D1B9D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>• AO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Speaking</w:t>
            </w:r>
          </w:p>
          <w:p w14:paraId="7F95888E" w14:textId="77777777" w:rsidR="001D1B9D" w:rsidRPr="001D1B9D" w:rsidRDefault="001D1B9D" w:rsidP="001D1B9D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1B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• AO3 – Reading</w:t>
            </w:r>
          </w:p>
          <w:p w14:paraId="26A4A1DA" w14:textId="77777777" w:rsidR="001D1B9D" w:rsidRPr="001D1B9D" w:rsidRDefault="001D1B9D" w:rsidP="001D1B9D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1B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• AO4 – Writing</w:t>
            </w:r>
          </w:p>
          <w:p w14:paraId="1AB8055A" w14:textId="77777777" w:rsidR="00093E30" w:rsidRPr="00624377" w:rsidRDefault="00093E30" w:rsidP="00093E30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CB48E96" w14:textId="250A4E16" w:rsidR="00093E30" w:rsidRPr="00624377" w:rsidRDefault="00093E30" w:rsidP="00BF3918">
            <w:pPr>
              <w:pStyle w:val="TableParagraph"/>
              <w:spacing w:before="1"/>
              <w:ind w:left="0" w:right="327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2EDD0DE0" w14:textId="77777777" w:rsidR="00BC1CD1" w:rsidRPr="00624377" w:rsidRDefault="00BC1CD1" w:rsidP="00BC1CD1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Topic: </w:t>
            </w:r>
          </w:p>
          <w:p w14:paraId="716A1646" w14:textId="77777777" w:rsidR="00BC1CD1" w:rsidRPr="00927561" w:rsidRDefault="00BC1CD1" w:rsidP="00BC1CD1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Theme 2: Local, national, international and global areas of interest</w:t>
            </w: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(Paper 1-4)</w:t>
            </w:r>
          </w:p>
          <w:p w14:paraId="016DA2F7" w14:textId="77777777" w:rsidR="00BC1CD1" w:rsidRDefault="00BC1CD1" w:rsidP="00BC1CD1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1185F7" w14:textId="36F5CF2B" w:rsidR="00BC1CD1" w:rsidRDefault="00BC1CD1" w:rsidP="00BC1CD1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Topic 2: Social Issues: charity</w:t>
            </w:r>
            <w:r w:rsidR="002C601B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voluntary work / Healthy</w:t>
            </w:r>
            <w:r w:rsidR="002C601B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unhealthy living </w:t>
            </w:r>
          </w:p>
          <w:p w14:paraId="0F9A9E84" w14:textId="39BFF117" w:rsidR="00BB7948" w:rsidRDefault="00BB7948" w:rsidP="00BC1CD1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E81AA3" w14:textId="6B81A9B2" w:rsidR="00BB7948" w:rsidRDefault="00BB7948" w:rsidP="00BB794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Topic 3: Global issues: </w:t>
            </w:r>
            <w:r w:rsidR="002C601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nvironment / poverty</w:t>
            </w:r>
            <w:r w:rsidR="002C601B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homelessness</w:t>
            </w:r>
          </w:p>
          <w:p w14:paraId="450DBA32" w14:textId="77777777" w:rsidR="00BB7948" w:rsidRDefault="00BB7948" w:rsidP="00BB794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793564" w14:textId="13791D01" w:rsidR="00BB7948" w:rsidRDefault="00BB7948" w:rsidP="00BB794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Topic 4: Travel and tourism</w:t>
            </w:r>
            <w:r w:rsidR="002C601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85A73B3" w14:textId="3EB22152" w:rsidR="002C601B" w:rsidRPr="007E293E" w:rsidRDefault="002C601B" w:rsidP="00BB794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Holidays and travel/ Regions of Spain </w:t>
            </w:r>
          </w:p>
          <w:p w14:paraId="1390CF9B" w14:textId="77777777" w:rsidR="00BB7948" w:rsidRPr="007E293E" w:rsidRDefault="00BB7948" w:rsidP="00BC1CD1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4D4353" w14:textId="77777777" w:rsidR="00BC1CD1" w:rsidRPr="00624377" w:rsidRDefault="00BC1CD1" w:rsidP="00BC1CD1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1CB05A" w14:textId="77777777" w:rsidR="00BC1CD1" w:rsidRPr="00624377" w:rsidRDefault="00BC1CD1" w:rsidP="00BC1CD1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Concepts: </w:t>
            </w:r>
          </w:p>
          <w:p w14:paraId="4BA6476F" w14:textId="77777777" w:rsidR="00BC1CD1" w:rsidRPr="00B75D01" w:rsidRDefault="00BC1CD1" w:rsidP="00BC1CD1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5D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• AO1 – Listening</w:t>
            </w:r>
          </w:p>
          <w:p w14:paraId="450F45E4" w14:textId="77777777" w:rsidR="00BC1CD1" w:rsidRPr="00BB7948" w:rsidRDefault="00BC1CD1" w:rsidP="00BC1CD1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79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• AO2 – Speaking</w:t>
            </w:r>
          </w:p>
          <w:p w14:paraId="75F90A20" w14:textId="77777777" w:rsidR="00BC1CD1" w:rsidRPr="001D1B9D" w:rsidRDefault="00BC1CD1" w:rsidP="00BC1CD1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1B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• AO3 – Reading</w:t>
            </w:r>
          </w:p>
          <w:p w14:paraId="6E0666B5" w14:textId="77777777" w:rsidR="00BC1CD1" w:rsidRPr="001D1B9D" w:rsidRDefault="00BC1CD1" w:rsidP="00BC1CD1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1B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• AO4 – Writing</w:t>
            </w:r>
          </w:p>
          <w:p w14:paraId="0B163F31" w14:textId="467919BC" w:rsidR="00093E30" w:rsidRPr="00093E30" w:rsidRDefault="00093E30" w:rsidP="00093E30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B9BE6E0" w14:textId="77777777" w:rsidR="00BB7948" w:rsidRPr="00624377" w:rsidRDefault="00BB7948" w:rsidP="00BB794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Topic: </w:t>
            </w:r>
          </w:p>
          <w:p w14:paraId="26F51BAF" w14:textId="40A770D8" w:rsidR="00BB7948" w:rsidRPr="00927561" w:rsidRDefault="00BB7948" w:rsidP="00BB794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Theme 3: Current and future study and employment</w:t>
            </w: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(Paper 1-4)</w:t>
            </w:r>
          </w:p>
          <w:p w14:paraId="2433C93D" w14:textId="77777777" w:rsidR="00BB7948" w:rsidRDefault="00BB7948" w:rsidP="00BB794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BBF9A1" w14:textId="3548DD38" w:rsidR="00BB7948" w:rsidRDefault="00BB7948" w:rsidP="00BB794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Topic </w:t>
            </w:r>
            <w:r w:rsidR="00E46D6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E46D64">
              <w:rPr>
                <w:rFonts w:asciiTheme="minorHAnsi" w:hAnsiTheme="minorHAnsi" w:cstheme="minorHAnsi"/>
                <w:sz w:val="20"/>
                <w:szCs w:val="20"/>
              </w:rPr>
              <w:t>My studies</w:t>
            </w:r>
            <w:r w:rsidR="00A56C8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75B7786" w14:textId="672E3E8B" w:rsidR="00A56C8D" w:rsidRDefault="00A56C8D" w:rsidP="00BB794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School and subjects</w:t>
            </w:r>
          </w:p>
          <w:p w14:paraId="536498D6" w14:textId="77777777" w:rsidR="00BB7948" w:rsidRDefault="00BB7948" w:rsidP="00BB794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48339D" w14:textId="0A8A4B38" w:rsidR="00BB7948" w:rsidRDefault="00BB7948" w:rsidP="00BB794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Topic </w:t>
            </w:r>
            <w:r w:rsidR="00E46D6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E46D64">
              <w:rPr>
                <w:rFonts w:asciiTheme="minorHAnsi" w:hAnsiTheme="minorHAnsi" w:cstheme="minorHAnsi"/>
                <w:sz w:val="20"/>
                <w:szCs w:val="20"/>
              </w:rPr>
              <w:t>Life at school</w:t>
            </w:r>
            <w:r w:rsidR="00A56C8D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E46D64">
              <w:rPr>
                <w:rFonts w:asciiTheme="minorHAnsi" w:hAnsiTheme="minorHAnsi" w:cstheme="minorHAnsi"/>
                <w:sz w:val="20"/>
                <w:szCs w:val="20"/>
              </w:rPr>
              <w:t>college</w:t>
            </w:r>
          </w:p>
          <w:p w14:paraId="4DF10120" w14:textId="77777777" w:rsidR="00BB7948" w:rsidRDefault="00BB7948" w:rsidP="00BB794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C50277" w14:textId="661FBFE2" w:rsidR="00BB7948" w:rsidRDefault="00BB7948" w:rsidP="00BB794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Topic </w:t>
            </w:r>
            <w:r w:rsidR="00E46D6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E46D64">
              <w:rPr>
                <w:rFonts w:asciiTheme="minorHAnsi" w:hAnsiTheme="minorHAnsi" w:cstheme="minorHAnsi"/>
                <w:sz w:val="20"/>
                <w:szCs w:val="20"/>
              </w:rPr>
              <w:t>Education post-16</w:t>
            </w:r>
            <w:r w:rsidR="00A56C8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B113C0E" w14:textId="67405C31" w:rsidR="00A56C8D" w:rsidRDefault="00A56C8D" w:rsidP="00BB794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University or work?</w:t>
            </w:r>
          </w:p>
          <w:p w14:paraId="37756104" w14:textId="2D17AFFE" w:rsidR="00E46D64" w:rsidRDefault="00E46D64" w:rsidP="00BB794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FE0440" w14:textId="2F00D707" w:rsidR="00E46D64" w:rsidRDefault="00E46D64" w:rsidP="00E46D64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Topic 4: Jobs, career choices and ambitions</w:t>
            </w:r>
            <w:r w:rsidR="00A56C8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E4605F4" w14:textId="2820BB2F" w:rsidR="00A56C8D" w:rsidRDefault="00A56C8D" w:rsidP="00E46D64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Choice of career</w:t>
            </w:r>
          </w:p>
          <w:p w14:paraId="00C77F70" w14:textId="77777777" w:rsidR="00E46D64" w:rsidRPr="007E293E" w:rsidRDefault="00E46D64" w:rsidP="00BB794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1E5750" w14:textId="77777777" w:rsidR="00BB7948" w:rsidRPr="00624377" w:rsidRDefault="00BB7948" w:rsidP="00BB794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084000" w14:textId="77777777" w:rsidR="00BB7948" w:rsidRPr="00624377" w:rsidRDefault="00BB7948" w:rsidP="00BB794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Concepts: </w:t>
            </w:r>
          </w:p>
          <w:p w14:paraId="388C12B9" w14:textId="77777777" w:rsidR="00BB7948" w:rsidRPr="00B75D01" w:rsidRDefault="00BB7948" w:rsidP="00BB794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Pr="00B75D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AO1 – Listening</w:t>
            </w:r>
          </w:p>
          <w:p w14:paraId="70B70B10" w14:textId="77777777" w:rsidR="00BB7948" w:rsidRPr="00BB7948" w:rsidRDefault="00BB7948" w:rsidP="00BB794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79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• AO2 – Speaking</w:t>
            </w:r>
          </w:p>
          <w:p w14:paraId="39304612" w14:textId="77777777" w:rsidR="00BB7948" w:rsidRPr="001D1B9D" w:rsidRDefault="00BB7948" w:rsidP="00BB794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1B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• AO3 – Reading</w:t>
            </w:r>
          </w:p>
          <w:p w14:paraId="0BFCF1B1" w14:textId="77777777" w:rsidR="00BB7948" w:rsidRPr="001D1B9D" w:rsidRDefault="00BB7948" w:rsidP="00BB7948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1B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• AO4 – Writing</w:t>
            </w:r>
          </w:p>
          <w:p w14:paraId="001F2588" w14:textId="706AC506" w:rsidR="00093E30" w:rsidRPr="00624377" w:rsidRDefault="00093E30" w:rsidP="00093E30">
            <w:pPr>
              <w:pStyle w:val="TableParagraph"/>
              <w:ind w:left="0" w:right="20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26" w:type="dxa"/>
            <w:vMerge w:val="restart"/>
          </w:tcPr>
          <w:p w14:paraId="1F6C245A" w14:textId="77777777" w:rsidR="00093E30" w:rsidRDefault="00093E30" w:rsidP="00093E30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</w:pPr>
            <w:r w:rsidRPr="00624377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REVISION</w:t>
            </w:r>
          </w:p>
          <w:p w14:paraId="36D6CAC7" w14:textId="77777777" w:rsidR="002D0D2E" w:rsidRDefault="002D0D2E" w:rsidP="00093E30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</w:pPr>
          </w:p>
          <w:p w14:paraId="46874F77" w14:textId="77777777" w:rsidR="00A56C8D" w:rsidRDefault="00A56C8D" w:rsidP="00093E30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</w:pPr>
          </w:p>
          <w:p w14:paraId="3985A0CC" w14:textId="77777777" w:rsidR="00A56C8D" w:rsidRDefault="00A56C8D" w:rsidP="00093E30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</w:pPr>
          </w:p>
          <w:p w14:paraId="1DACF1E6" w14:textId="77777777" w:rsidR="00A56C8D" w:rsidRDefault="00A56C8D" w:rsidP="00093E30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</w:pPr>
          </w:p>
          <w:p w14:paraId="7778DD97" w14:textId="1602446C" w:rsidR="002D0D2E" w:rsidRPr="00093E30" w:rsidRDefault="002D0D2E" w:rsidP="00093E30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Cover themes that require more depth based on </w:t>
            </w:r>
            <w:r w:rsidR="00A56C8D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the </w:t>
            </w:r>
            <w: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needs of </w:t>
            </w:r>
            <w:r w:rsidR="006473DB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individual students.</w:t>
            </w:r>
          </w:p>
        </w:tc>
        <w:tc>
          <w:tcPr>
            <w:tcW w:w="2281" w:type="dxa"/>
            <w:tcBorders>
              <w:bottom w:val="nil"/>
            </w:tcBorders>
          </w:tcPr>
          <w:p w14:paraId="72D9E197" w14:textId="77777777" w:rsidR="00093E30" w:rsidRPr="00624377" w:rsidRDefault="00093E30" w:rsidP="00BF3918">
            <w:pPr>
              <w:pStyle w:val="TableParagraph"/>
              <w:ind w:left="142"/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</w:pPr>
            <w:r w:rsidRPr="00624377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REVISION</w:t>
            </w:r>
          </w:p>
        </w:tc>
      </w:tr>
      <w:tr w:rsidR="00093E30" w14:paraId="539B2E27" w14:textId="77777777" w:rsidTr="00BF3918">
        <w:trPr>
          <w:trHeight w:val="358"/>
        </w:trPr>
        <w:tc>
          <w:tcPr>
            <w:tcW w:w="538" w:type="dxa"/>
            <w:vMerge/>
            <w:textDirection w:val="btLr"/>
          </w:tcPr>
          <w:p w14:paraId="23DC67D3" w14:textId="77777777" w:rsidR="00093E30" w:rsidRDefault="00093E30" w:rsidP="00BF3918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</w:tcPr>
          <w:p w14:paraId="5987D2A2" w14:textId="77777777" w:rsidR="00093E30" w:rsidRDefault="00093E30" w:rsidP="00BF391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4AA8678B" w14:textId="77777777" w:rsidR="00093E30" w:rsidRDefault="00093E30" w:rsidP="00BF39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39991F68" w14:textId="77777777" w:rsidR="00093E30" w:rsidRDefault="00093E30" w:rsidP="00BF3918">
            <w:pPr>
              <w:pStyle w:val="TableParagraph"/>
              <w:tabs>
                <w:tab w:val="left" w:pos="579"/>
                <w:tab w:val="left" w:pos="580"/>
              </w:tabs>
              <w:ind w:left="0"/>
              <w:rPr>
                <w:i/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06FD4AB5" w14:textId="77777777" w:rsidR="00093E30" w:rsidRDefault="00093E30" w:rsidP="00BF39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Merge/>
          </w:tcPr>
          <w:p w14:paraId="3E27BCCC" w14:textId="77777777" w:rsidR="00093E30" w:rsidRDefault="00093E30" w:rsidP="00BF3918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 w14:paraId="1582BD0C" w14:textId="77777777" w:rsidR="00093E30" w:rsidRDefault="00093E30" w:rsidP="00BF39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93E30" w14:paraId="6540F1C6" w14:textId="77777777" w:rsidTr="00BF3918">
        <w:trPr>
          <w:trHeight w:val="361"/>
        </w:trPr>
        <w:tc>
          <w:tcPr>
            <w:tcW w:w="538" w:type="dxa"/>
            <w:vMerge w:val="restart"/>
            <w:shd w:val="clear" w:color="auto" w:fill="79133E"/>
            <w:textDirection w:val="btLr"/>
          </w:tcPr>
          <w:p w14:paraId="0346823C" w14:textId="77777777" w:rsidR="00093E30" w:rsidRDefault="00093E30" w:rsidP="00BF3918">
            <w:pPr>
              <w:pStyle w:val="TableParagraph"/>
              <w:spacing w:before="130"/>
              <w:ind w:left="53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Impact</w:t>
            </w:r>
          </w:p>
        </w:tc>
        <w:tc>
          <w:tcPr>
            <w:tcW w:w="5298" w:type="dxa"/>
            <w:gridSpan w:val="2"/>
          </w:tcPr>
          <w:p w14:paraId="42FEF922" w14:textId="77777777" w:rsidR="00093E30" w:rsidRDefault="00093E30" w:rsidP="00BF3918">
            <w:pPr>
              <w:pStyle w:val="TableParagraph"/>
              <w:spacing w:line="215" w:lineRule="exact"/>
              <w:ind w:left="107"/>
              <w:jc w:val="center"/>
              <w:rPr>
                <w:b/>
                <w:bCs/>
                <w:i/>
                <w:color w:val="79133E"/>
                <w:sz w:val="28"/>
                <w:szCs w:val="28"/>
              </w:rPr>
            </w:pPr>
            <w:r>
              <w:rPr>
                <w:b/>
                <w:bCs/>
                <w:i/>
                <w:color w:val="79133E"/>
                <w:sz w:val="28"/>
                <w:szCs w:val="28"/>
              </w:rPr>
              <w:t>AP1</w:t>
            </w:r>
          </w:p>
        </w:tc>
        <w:tc>
          <w:tcPr>
            <w:tcW w:w="5528" w:type="dxa"/>
            <w:gridSpan w:val="2"/>
          </w:tcPr>
          <w:p w14:paraId="4AA8762E" w14:textId="77777777" w:rsidR="00093E30" w:rsidRDefault="00093E30" w:rsidP="00BF3918">
            <w:pPr>
              <w:pStyle w:val="TableParagraph"/>
              <w:spacing w:line="215" w:lineRule="exact"/>
              <w:ind w:left="106"/>
              <w:jc w:val="center"/>
              <w:rPr>
                <w:b/>
                <w:bCs/>
                <w:i/>
                <w:color w:val="79133E"/>
                <w:sz w:val="18"/>
              </w:rPr>
            </w:pPr>
            <w:r>
              <w:rPr>
                <w:b/>
                <w:bCs/>
                <w:i/>
                <w:color w:val="79133E"/>
                <w:sz w:val="28"/>
                <w:szCs w:val="28"/>
              </w:rPr>
              <w:t>AP2</w:t>
            </w:r>
          </w:p>
        </w:tc>
        <w:tc>
          <w:tcPr>
            <w:tcW w:w="4407" w:type="dxa"/>
            <w:gridSpan w:val="2"/>
          </w:tcPr>
          <w:p w14:paraId="3BCA919C" w14:textId="77777777" w:rsidR="00093E30" w:rsidRDefault="00093E30" w:rsidP="00BF3918">
            <w:pPr>
              <w:pStyle w:val="TableParagraph"/>
              <w:spacing w:line="215" w:lineRule="exact"/>
              <w:ind w:left="106"/>
              <w:jc w:val="center"/>
              <w:rPr>
                <w:b/>
                <w:bCs/>
                <w:i/>
                <w:color w:val="79133E"/>
                <w:sz w:val="18"/>
              </w:rPr>
            </w:pPr>
            <w:r>
              <w:rPr>
                <w:b/>
                <w:bCs/>
                <w:i/>
                <w:color w:val="79133E"/>
                <w:sz w:val="28"/>
                <w:szCs w:val="28"/>
              </w:rPr>
              <w:t>AP3</w:t>
            </w:r>
          </w:p>
        </w:tc>
      </w:tr>
      <w:tr w:rsidR="00093E30" w14:paraId="23153AB0" w14:textId="77777777" w:rsidTr="00BF3918">
        <w:trPr>
          <w:trHeight w:val="1771"/>
        </w:trPr>
        <w:tc>
          <w:tcPr>
            <w:tcW w:w="538" w:type="dxa"/>
            <w:vMerge/>
            <w:shd w:val="clear" w:color="auto" w:fill="79133E"/>
            <w:textDirection w:val="btLr"/>
          </w:tcPr>
          <w:p w14:paraId="07882C8C" w14:textId="77777777" w:rsidR="00093E30" w:rsidRDefault="00093E30" w:rsidP="00BF3918">
            <w:pPr>
              <w:pStyle w:val="TableParagraph"/>
              <w:spacing w:before="130"/>
              <w:ind w:left="531"/>
              <w:rPr>
                <w:rFonts w:ascii="Arial"/>
                <w:sz w:val="24"/>
              </w:rPr>
            </w:pPr>
          </w:p>
        </w:tc>
        <w:tc>
          <w:tcPr>
            <w:tcW w:w="5298" w:type="dxa"/>
            <w:gridSpan w:val="2"/>
          </w:tcPr>
          <w:p w14:paraId="0E21B4C1" w14:textId="77777777" w:rsidR="00093E30" w:rsidRDefault="00093E30" w:rsidP="00BF3918">
            <w:pPr>
              <w:pStyle w:val="TableParagraph"/>
              <w:spacing w:line="215" w:lineRule="exact"/>
              <w:ind w:left="107"/>
              <w:jc w:val="right"/>
              <w:rPr>
                <w:b/>
                <w:bCs/>
                <w:i/>
                <w:color w:val="79133E"/>
                <w:sz w:val="20"/>
                <w:szCs w:val="20"/>
              </w:rPr>
            </w:pPr>
          </w:p>
          <w:p w14:paraId="3E2004F0" w14:textId="77777777" w:rsidR="00093E30" w:rsidRDefault="00093E30" w:rsidP="00BF3918">
            <w:pPr>
              <w:pStyle w:val="TableParagraph"/>
              <w:spacing w:line="215" w:lineRule="exact"/>
              <w:ind w:left="107"/>
              <w:jc w:val="center"/>
              <w:rPr>
                <w:b/>
                <w:bCs/>
                <w:i/>
                <w:color w:val="79133E"/>
                <w:sz w:val="20"/>
                <w:szCs w:val="20"/>
              </w:rPr>
            </w:pPr>
            <w:r>
              <w:rPr>
                <w:b/>
                <w:bCs/>
                <w:i/>
                <w:color w:val="79133E"/>
                <w:sz w:val="20"/>
                <w:szCs w:val="20"/>
              </w:rPr>
              <w:t>Winter Mock Exams</w:t>
            </w:r>
          </w:p>
          <w:p w14:paraId="6D6A4732" w14:textId="0236C5BA" w:rsidR="00093E30" w:rsidRDefault="00B75D01" w:rsidP="00BF3918">
            <w:pPr>
              <w:pStyle w:val="TableParagraph"/>
              <w:spacing w:line="215" w:lineRule="exact"/>
              <w:ind w:left="107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Paper 1: Listening</w:t>
            </w:r>
          </w:p>
          <w:p w14:paraId="0A4C1BCF" w14:textId="2BBE7EB6" w:rsidR="00B75D01" w:rsidRDefault="00B75D01" w:rsidP="00BF3918">
            <w:pPr>
              <w:pStyle w:val="TableParagraph"/>
              <w:spacing w:line="215" w:lineRule="exact"/>
              <w:ind w:left="107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Paper 3: Reading</w:t>
            </w:r>
          </w:p>
          <w:p w14:paraId="460FD745" w14:textId="0ED2B511" w:rsidR="00B75D01" w:rsidRDefault="00B75D01" w:rsidP="00BF3918">
            <w:pPr>
              <w:pStyle w:val="TableParagraph"/>
              <w:spacing w:line="215" w:lineRule="exact"/>
              <w:ind w:left="1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Paper 4: Writing</w:t>
            </w:r>
          </w:p>
          <w:p w14:paraId="119D2EFD" w14:textId="56204E24" w:rsidR="008772F2" w:rsidRDefault="008772F2" w:rsidP="00BF3918">
            <w:pPr>
              <w:pStyle w:val="TableParagraph"/>
              <w:spacing w:line="215" w:lineRule="exact"/>
              <w:ind w:left="1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13A4B77" w14:textId="77777777" w:rsidR="00093E30" w:rsidRDefault="00093E30" w:rsidP="00BF3918">
            <w:pPr>
              <w:pStyle w:val="TableParagraph"/>
              <w:spacing w:line="215" w:lineRule="exact"/>
              <w:ind w:left="107"/>
              <w:jc w:val="center"/>
              <w:rPr>
                <w:b/>
                <w:bCs/>
                <w:i/>
                <w:color w:val="79133E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6DE946" w14:textId="77777777" w:rsidR="00093E30" w:rsidRDefault="00093E30" w:rsidP="00BF3918">
            <w:pPr>
              <w:pStyle w:val="TableParagraph"/>
              <w:spacing w:line="215" w:lineRule="exact"/>
              <w:ind w:left="106"/>
              <w:rPr>
                <w:b/>
                <w:bCs/>
                <w:i/>
                <w:color w:val="79133E"/>
                <w:sz w:val="20"/>
                <w:szCs w:val="20"/>
              </w:rPr>
            </w:pPr>
          </w:p>
          <w:p w14:paraId="179B027E" w14:textId="77777777" w:rsidR="00093E30" w:rsidRDefault="00093E30" w:rsidP="00BF3918">
            <w:pPr>
              <w:pStyle w:val="TableParagraph"/>
              <w:spacing w:line="215" w:lineRule="exact"/>
              <w:ind w:left="106"/>
              <w:rPr>
                <w:b/>
                <w:bCs/>
                <w:i/>
                <w:color w:val="79133E"/>
                <w:sz w:val="20"/>
                <w:szCs w:val="20"/>
              </w:rPr>
            </w:pPr>
            <w:r>
              <w:rPr>
                <w:b/>
                <w:bCs/>
                <w:i/>
                <w:color w:val="79133E"/>
                <w:sz w:val="20"/>
                <w:szCs w:val="20"/>
              </w:rPr>
              <w:t>Spring 1 Assessment</w:t>
            </w:r>
          </w:p>
          <w:p w14:paraId="471A7E83" w14:textId="77777777" w:rsidR="00093E30" w:rsidRDefault="002D0D2E" w:rsidP="00BF3918">
            <w:pPr>
              <w:pStyle w:val="TableParagraph"/>
              <w:spacing w:line="215" w:lineRule="exact"/>
              <w:ind w:left="106"/>
              <w:rPr>
                <w:b/>
                <w:bCs/>
                <w:i/>
                <w:iCs/>
                <w:color w:val="01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10000"/>
                <w:sz w:val="18"/>
                <w:szCs w:val="18"/>
              </w:rPr>
              <w:t>Mini Assessment:</w:t>
            </w:r>
            <w:r w:rsidR="00093E30">
              <w:rPr>
                <w:b/>
                <w:bCs/>
                <w:i/>
                <w:iCs/>
                <w:color w:val="010000"/>
                <w:sz w:val="18"/>
                <w:szCs w:val="18"/>
              </w:rPr>
              <w:t xml:space="preserve"> </w:t>
            </w:r>
          </w:p>
          <w:p w14:paraId="5E745090" w14:textId="77777777" w:rsidR="002D0D2E" w:rsidRDefault="002D0D2E" w:rsidP="002D0D2E">
            <w:pPr>
              <w:pStyle w:val="TableParagraph"/>
              <w:spacing w:line="215" w:lineRule="exact"/>
              <w:ind w:left="107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Paper 1: Listening</w:t>
            </w:r>
          </w:p>
          <w:p w14:paraId="2F439083" w14:textId="77777777" w:rsidR="002D0D2E" w:rsidRDefault="002D0D2E" w:rsidP="002D0D2E">
            <w:pPr>
              <w:pStyle w:val="TableParagraph"/>
              <w:spacing w:line="215" w:lineRule="exact"/>
              <w:ind w:left="107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Paper 3: Reading</w:t>
            </w:r>
          </w:p>
          <w:p w14:paraId="4E0BB028" w14:textId="77777777" w:rsidR="002D0D2E" w:rsidRDefault="002D0D2E" w:rsidP="002D0D2E">
            <w:pPr>
              <w:pStyle w:val="TableParagraph"/>
              <w:spacing w:line="215" w:lineRule="exact"/>
              <w:ind w:left="10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Paper 4: Writing</w:t>
            </w:r>
          </w:p>
          <w:p w14:paraId="30BB4A01" w14:textId="2756C6EF" w:rsidR="002D0D2E" w:rsidRDefault="002D0D2E" w:rsidP="00BF3918">
            <w:pPr>
              <w:pStyle w:val="TableParagraph"/>
              <w:spacing w:line="215" w:lineRule="exact"/>
              <w:ind w:left="106"/>
              <w:rPr>
                <w:b/>
                <w:bCs/>
                <w:i/>
                <w:color w:val="79133E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12E4FA" w14:textId="77777777" w:rsidR="00093E30" w:rsidRDefault="00093E30" w:rsidP="00BF3918">
            <w:pPr>
              <w:pStyle w:val="TableParagraph"/>
              <w:spacing w:line="215" w:lineRule="exact"/>
              <w:ind w:left="106"/>
              <w:rPr>
                <w:b/>
                <w:bCs/>
                <w:i/>
                <w:color w:val="79133E"/>
                <w:sz w:val="20"/>
                <w:szCs w:val="20"/>
              </w:rPr>
            </w:pPr>
          </w:p>
          <w:p w14:paraId="1BE711C8" w14:textId="77777777" w:rsidR="00093E30" w:rsidRDefault="00093E30" w:rsidP="00BF3918">
            <w:pPr>
              <w:pStyle w:val="TableParagraph"/>
              <w:spacing w:line="215" w:lineRule="exact"/>
              <w:ind w:left="106"/>
              <w:rPr>
                <w:b/>
                <w:bCs/>
                <w:i/>
                <w:color w:val="79133E"/>
                <w:sz w:val="20"/>
                <w:szCs w:val="20"/>
              </w:rPr>
            </w:pPr>
            <w:r>
              <w:rPr>
                <w:b/>
                <w:bCs/>
                <w:i/>
                <w:color w:val="79133E"/>
                <w:sz w:val="20"/>
                <w:szCs w:val="20"/>
              </w:rPr>
              <w:t>Spring 2 Mock Exams</w:t>
            </w:r>
          </w:p>
          <w:p w14:paraId="1C5D3C6A" w14:textId="5B5B47AA" w:rsidR="002D0D2E" w:rsidRDefault="002D0D2E" w:rsidP="002D0D2E">
            <w:pPr>
              <w:pStyle w:val="TableParagraph"/>
              <w:spacing w:line="215" w:lineRule="exact"/>
              <w:ind w:left="107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Paper 1: Listening</w:t>
            </w:r>
          </w:p>
          <w:p w14:paraId="57D92D48" w14:textId="26A17836" w:rsidR="002D0D2E" w:rsidRDefault="002D0D2E" w:rsidP="002D0D2E">
            <w:pPr>
              <w:pStyle w:val="TableParagraph"/>
              <w:spacing w:line="215" w:lineRule="exact"/>
              <w:ind w:left="107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Paper 2: Speaking</w:t>
            </w:r>
          </w:p>
          <w:p w14:paraId="3FE37697" w14:textId="77777777" w:rsidR="002D0D2E" w:rsidRDefault="002D0D2E" w:rsidP="002D0D2E">
            <w:pPr>
              <w:pStyle w:val="TableParagraph"/>
              <w:spacing w:line="215" w:lineRule="exact"/>
              <w:ind w:left="107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Paper 3: Reading</w:t>
            </w:r>
          </w:p>
          <w:p w14:paraId="14494EA8" w14:textId="77777777" w:rsidR="002D0D2E" w:rsidRDefault="002D0D2E" w:rsidP="002D0D2E">
            <w:pPr>
              <w:pStyle w:val="TableParagraph"/>
              <w:spacing w:line="215" w:lineRule="exact"/>
              <w:ind w:left="10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Paper 4: Writing</w:t>
            </w:r>
          </w:p>
          <w:p w14:paraId="0AA1D9A9" w14:textId="5E41C631" w:rsidR="00093E30" w:rsidRDefault="00093E30" w:rsidP="00BF3918">
            <w:pPr>
              <w:pStyle w:val="TableParagraph"/>
              <w:spacing w:line="215" w:lineRule="exact"/>
              <w:ind w:left="106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07" w:type="dxa"/>
            <w:gridSpan w:val="2"/>
          </w:tcPr>
          <w:p w14:paraId="7E27DE1D" w14:textId="77777777" w:rsidR="00093E30" w:rsidRDefault="00093E30" w:rsidP="00BF3918">
            <w:pPr>
              <w:pStyle w:val="TableParagraph"/>
              <w:spacing w:line="215" w:lineRule="exact"/>
              <w:ind w:left="106"/>
              <w:jc w:val="center"/>
              <w:rPr>
                <w:b/>
                <w:bCs/>
                <w:i/>
                <w:color w:val="79133E"/>
                <w:sz w:val="20"/>
                <w:szCs w:val="20"/>
              </w:rPr>
            </w:pPr>
          </w:p>
          <w:p w14:paraId="1DA49897" w14:textId="77777777" w:rsidR="00093E30" w:rsidRDefault="00093E30" w:rsidP="00BF3918">
            <w:pPr>
              <w:pStyle w:val="TableParagraph"/>
              <w:spacing w:line="215" w:lineRule="exact"/>
              <w:ind w:left="106"/>
              <w:jc w:val="center"/>
              <w:rPr>
                <w:b/>
                <w:bCs/>
                <w:i/>
                <w:color w:val="79133E"/>
                <w:sz w:val="20"/>
                <w:szCs w:val="20"/>
              </w:rPr>
            </w:pPr>
            <w:r>
              <w:rPr>
                <w:b/>
                <w:bCs/>
                <w:i/>
                <w:color w:val="79133E"/>
                <w:sz w:val="20"/>
                <w:szCs w:val="20"/>
              </w:rPr>
              <w:t>External Summer National Exams</w:t>
            </w:r>
          </w:p>
          <w:p w14:paraId="6733B20D" w14:textId="39D5FE9B" w:rsidR="008772F2" w:rsidRDefault="008772F2" w:rsidP="00BF3918">
            <w:pPr>
              <w:pStyle w:val="TableParagraph"/>
              <w:spacing w:line="215" w:lineRule="exact"/>
              <w:ind w:left="106"/>
              <w:jc w:val="center"/>
              <w:rPr>
                <w:b/>
                <w:bCs/>
                <w:i/>
                <w:color w:val="79133E"/>
                <w:sz w:val="20"/>
                <w:szCs w:val="20"/>
              </w:rPr>
            </w:pPr>
          </w:p>
          <w:p w14:paraId="5A8107CD" w14:textId="072D2320" w:rsidR="008772F2" w:rsidRDefault="008772F2" w:rsidP="002D0D2E">
            <w:pPr>
              <w:pStyle w:val="TableParagraph"/>
              <w:spacing w:line="215" w:lineRule="exact"/>
              <w:ind w:left="106"/>
              <w:jc w:val="center"/>
              <w:rPr>
                <w:b/>
                <w:bCs/>
                <w:i/>
                <w:color w:val="79133E"/>
                <w:sz w:val="20"/>
                <w:szCs w:val="20"/>
              </w:rPr>
            </w:pPr>
          </w:p>
        </w:tc>
      </w:tr>
    </w:tbl>
    <w:p w14:paraId="6703D42B" w14:textId="77777777" w:rsidR="00F37D88" w:rsidRDefault="00F37D88"/>
    <w:sectPr w:rsidR="00F37D88" w:rsidSect="006243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10" w:orient="landscape"/>
      <w:pgMar w:top="720" w:right="54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65B4E" w14:textId="77777777" w:rsidR="009C16B3" w:rsidRDefault="009C16B3">
      <w:r>
        <w:separator/>
      </w:r>
    </w:p>
  </w:endnote>
  <w:endnote w:type="continuationSeparator" w:id="0">
    <w:p w14:paraId="514ED0EF" w14:textId="77777777" w:rsidR="009C16B3" w:rsidRDefault="009C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81B8" w14:textId="77777777" w:rsidR="00001F62" w:rsidRDefault="00001F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411F" w14:textId="77777777" w:rsidR="00F05A49" w:rsidRDefault="00093E30">
    <w:pPr>
      <w:pStyle w:val="Footer"/>
    </w:pPr>
    <w:r>
      <w:t>07/10/2021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36B23" w14:textId="77777777" w:rsidR="00001F62" w:rsidRDefault="00001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6D9EA" w14:textId="77777777" w:rsidR="009C16B3" w:rsidRDefault="009C16B3">
      <w:r>
        <w:separator/>
      </w:r>
    </w:p>
  </w:footnote>
  <w:footnote w:type="continuationSeparator" w:id="0">
    <w:p w14:paraId="0E454279" w14:textId="77777777" w:rsidR="009C16B3" w:rsidRDefault="009C1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654F" w14:textId="77777777" w:rsidR="00001F62" w:rsidRDefault="00001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C5D4" w14:textId="4DEA123D" w:rsidR="00F05A49" w:rsidRDefault="00093E30">
    <w:pPr>
      <w:pStyle w:val="Heading1"/>
      <w:rPr>
        <w:b/>
        <w:bCs/>
      </w:rPr>
    </w:pPr>
    <w:r>
      <w:rPr>
        <w:rFonts w:ascii="Arial" w:hAnsi="Arial" w:cs="Arial"/>
        <w:noProof/>
        <w:color w:val="00757E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1B1F6AE1" wp14:editId="1F53FE00">
          <wp:simplePos x="0" y="0"/>
          <wp:positionH relativeFrom="column">
            <wp:posOffset>9304286</wp:posOffset>
          </wp:positionH>
          <wp:positionV relativeFrom="paragraph">
            <wp:posOffset>-436466</wp:posOffset>
          </wp:positionV>
          <wp:extent cx="977265" cy="722630"/>
          <wp:effectExtent l="0" t="0" r="0" b="1270"/>
          <wp:wrapTight wrapText="bothSides">
            <wp:wrapPolygon edited="0">
              <wp:start x="0" y="0"/>
              <wp:lineTo x="0" y="5125"/>
              <wp:lineTo x="2526" y="9111"/>
              <wp:lineTo x="2526" y="17083"/>
              <wp:lineTo x="0" y="19360"/>
              <wp:lineTo x="0" y="21069"/>
              <wp:lineTo x="21053" y="21069"/>
              <wp:lineTo x="21053" y="14805"/>
              <wp:lineTo x="17684" y="0"/>
              <wp:lineTo x="0" y="0"/>
            </wp:wrapPolygon>
          </wp:wrapTight>
          <wp:docPr id="2" name="Picture 2" descr="A picture containing text, screen, clipart, d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creen, clipart, dar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6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>2</w:t>
    </w:r>
    <w:r w:rsidR="00001F62">
      <w:rPr>
        <w:b/>
        <w:bCs/>
      </w:rPr>
      <w:t>3</w:t>
    </w:r>
    <w:r>
      <w:rPr>
        <w:b/>
        <w:bCs/>
      </w:rPr>
      <w:t>/2</w:t>
    </w:r>
    <w:r w:rsidR="00001F62">
      <w:rPr>
        <w:b/>
        <w:bCs/>
      </w:rPr>
      <w:t>4</w:t>
    </w:r>
    <w:r>
      <w:rPr>
        <w:b/>
        <w:bCs/>
      </w:rPr>
      <w:t>: KS4 Curriculum and Assessment Map</w:t>
    </w:r>
    <w:r>
      <w:rPr>
        <w:rFonts w:ascii="Arial" w:hAnsi="Arial" w:cs="Arial"/>
        <w:color w:val="00757E"/>
        <w:sz w:val="20"/>
        <w:szCs w:val="20"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0B96" w14:textId="77777777" w:rsidR="00001F62" w:rsidRDefault="00001F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30"/>
    <w:rsid w:val="00001F62"/>
    <w:rsid w:val="00042582"/>
    <w:rsid w:val="00093E30"/>
    <w:rsid w:val="00133A28"/>
    <w:rsid w:val="00137183"/>
    <w:rsid w:val="001678F2"/>
    <w:rsid w:val="001D1B9D"/>
    <w:rsid w:val="00202F5F"/>
    <w:rsid w:val="00292D0B"/>
    <w:rsid w:val="002C601B"/>
    <w:rsid w:val="002D0D2E"/>
    <w:rsid w:val="003464A9"/>
    <w:rsid w:val="0037033A"/>
    <w:rsid w:val="003A02E4"/>
    <w:rsid w:val="003C1B4F"/>
    <w:rsid w:val="004834C4"/>
    <w:rsid w:val="00484FB5"/>
    <w:rsid w:val="00500383"/>
    <w:rsid w:val="00506EF3"/>
    <w:rsid w:val="0061428E"/>
    <w:rsid w:val="006473DB"/>
    <w:rsid w:val="006E7ACC"/>
    <w:rsid w:val="00762EFB"/>
    <w:rsid w:val="007655AB"/>
    <w:rsid w:val="007E293E"/>
    <w:rsid w:val="007F5044"/>
    <w:rsid w:val="008772F2"/>
    <w:rsid w:val="008C45DB"/>
    <w:rsid w:val="00903461"/>
    <w:rsid w:val="00920B61"/>
    <w:rsid w:val="0099514A"/>
    <w:rsid w:val="009C16B3"/>
    <w:rsid w:val="00A56C8D"/>
    <w:rsid w:val="00B12711"/>
    <w:rsid w:val="00B75D01"/>
    <w:rsid w:val="00BB7948"/>
    <w:rsid w:val="00BC15DC"/>
    <w:rsid w:val="00BC1CD1"/>
    <w:rsid w:val="00C11FA9"/>
    <w:rsid w:val="00CD1C1A"/>
    <w:rsid w:val="00D34611"/>
    <w:rsid w:val="00D77EB6"/>
    <w:rsid w:val="00DC219F"/>
    <w:rsid w:val="00E46D64"/>
    <w:rsid w:val="00F37D88"/>
    <w:rsid w:val="00F7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B2E5E"/>
  <w15:chartTrackingRefBased/>
  <w15:docId w15:val="{0724C863-C0B2-431B-8B88-AA21B30E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E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3E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093E30"/>
    <w:pPr>
      <w:ind w:left="579"/>
    </w:pPr>
  </w:style>
  <w:style w:type="paragraph" w:styleId="Footer">
    <w:name w:val="footer"/>
    <w:basedOn w:val="Normal"/>
    <w:link w:val="FooterChar"/>
    <w:uiPriority w:val="99"/>
    <w:unhideWhenUsed/>
    <w:rsid w:val="00093E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E30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034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46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BB4E.E6C1C2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CC5997E091145B3A80D5E3EE6E7AE" ma:contentTypeVersion="12" ma:contentTypeDescription="Create a new document." ma:contentTypeScope="" ma:versionID="cedefde1a6ef0a9eeba5bbeae6f7fb5f">
  <xsd:schema xmlns:xsd="http://www.w3.org/2001/XMLSchema" xmlns:xs="http://www.w3.org/2001/XMLSchema" xmlns:p="http://schemas.microsoft.com/office/2006/metadata/properties" xmlns:ns2="d3e07e05-5c11-4eed-a285-4c9cf94806a1" xmlns:ns3="a24f11dc-7e8e-4237-820d-ef3cbb44df61" targetNamespace="http://schemas.microsoft.com/office/2006/metadata/properties" ma:root="true" ma:fieldsID="8808a578930ad1860be98b752edc29e4" ns2:_="" ns3:_="">
    <xsd:import namespace="d3e07e05-5c11-4eed-a285-4c9cf94806a1"/>
    <xsd:import namespace="a24f11dc-7e8e-4237-820d-ef3cbb44d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07e05-5c11-4eed-a285-4c9cf9480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f11dc-7e8e-4237-820d-ef3cbb44d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04FE9-165D-4DDF-AB9D-34486DBBC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07e05-5c11-4eed-a285-4c9cf94806a1"/>
    <ds:schemaRef ds:uri="a24f11dc-7e8e-4237-820d-ef3cbb44d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AC38E-7FA0-4097-BDC2-4D770F358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453053-56D3-415D-B0F2-F594B001E9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A.Mordant</dc:creator>
  <cp:keywords/>
  <dc:description/>
  <cp:lastModifiedBy>S.Laurito</cp:lastModifiedBy>
  <cp:revision>2</cp:revision>
  <dcterms:created xsi:type="dcterms:W3CDTF">2023-07-10T12:15:00Z</dcterms:created>
  <dcterms:modified xsi:type="dcterms:W3CDTF">2023-07-10T12:15:00Z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0x010100E5CCC5997E091145B3A80D5E3EE6E7AE</vt:lpwstr>
  </property>
</Properties>
</file>