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63"/>
        <w:gridCol w:w="2835"/>
        <w:gridCol w:w="2693"/>
        <w:gridCol w:w="2835"/>
        <w:gridCol w:w="2126"/>
        <w:gridCol w:w="2281"/>
      </w:tblGrid>
      <w:tr w:rsidR="001F38C2" w14:paraId="0C396C23" w14:textId="77777777" w:rsidTr="00C144C9">
        <w:trPr>
          <w:trHeight w:val="517"/>
        </w:trPr>
        <w:tc>
          <w:tcPr>
            <w:tcW w:w="15771" w:type="dxa"/>
            <w:gridSpan w:val="7"/>
          </w:tcPr>
          <w:p w14:paraId="465D8162" w14:textId="21FBF26A" w:rsidR="001F38C2" w:rsidRDefault="001F38C2" w:rsidP="00C144C9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7B7B"/>
                <w:sz w:val="24"/>
              </w:rPr>
              <w:t xml:space="preserve">KS4                                                                                   Subject: GCSE </w:t>
            </w:r>
            <w:r w:rsidR="00921D5D">
              <w:rPr>
                <w:rFonts w:ascii="Arial" w:hAnsi="Arial"/>
                <w:b/>
                <w:color w:val="007B7B"/>
                <w:sz w:val="24"/>
              </w:rPr>
              <w:t xml:space="preserve">Spanish </w:t>
            </w:r>
            <w:r>
              <w:rPr>
                <w:rFonts w:ascii="Arial" w:hAnsi="Arial"/>
                <w:b/>
                <w:color w:val="007B7B"/>
                <w:sz w:val="24"/>
              </w:rPr>
              <w:t>Year 9</w:t>
            </w:r>
            <w:r w:rsidR="00921D5D">
              <w:rPr>
                <w:rFonts w:ascii="Arial" w:hAnsi="Arial"/>
                <w:b/>
                <w:color w:val="007B7B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7B7B"/>
                <w:sz w:val="24"/>
              </w:rPr>
              <w:t>&amp;</w:t>
            </w:r>
            <w:r w:rsidR="00921D5D">
              <w:rPr>
                <w:rFonts w:ascii="Arial" w:hAnsi="Arial"/>
                <w:b/>
                <w:color w:val="007B7B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7B7B"/>
                <w:sz w:val="24"/>
              </w:rPr>
              <w:t>10</w:t>
            </w:r>
          </w:p>
        </w:tc>
      </w:tr>
      <w:tr w:rsidR="001F38C2" w14:paraId="2B69C9D5" w14:textId="77777777" w:rsidTr="00C144C9">
        <w:trPr>
          <w:trHeight w:val="1159"/>
        </w:trPr>
        <w:tc>
          <w:tcPr>
            <w:tcW w:w="538" w:type="dxa"/>
            <w:shd w:val="clear" w:color="auto" w:fill="79133E"/>
            <w:textDirection w:val="btLr"/>
          </w:tcPr>
          <w:p w14:paraId="11F644E6" w14:textId="77777777" w:rsidR="001F38C2" w:rsidRDefault="001F38C2" w:rsidP="00C144C9">
            <w:pPr>
              <w:pStyle w:val="TableParagraph"/>
              <w:spacing w:before="110"/>
              <w:ind w:left="2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Intent</w:t>
            </w:r>
          </w:p>
        </w:tc>
        <w:tc>
          <w:tcPr>
            <w:tcW w:w="15233" w:type="dxa"/>
            <w:gridSpan w:val="6"/>
          </w:tcPr>
          <w:p w14:paraId="731C21F9" w14:textId="19503AEE" w:rsidR="00921D5D" w:rsidRDefault="00921D5D" w:rsidP="00C144C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</w:p>
          <w:p w14:paraId="799CDDF6" w14:textId="77777777" w:rsidR="00E008C1" w:rsidRDefault="00921D5D" w:rsidP="00C144C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Year 9 &amp; 10 </w:t>
            </w:r>
            <w:r w:rsidR="002A5227">
              <w:rPr>
                <w:rFonts w:asciiTheme="minorHAnsi" w:hAnsiTheme="minorHAnsi" w:cstheme="minorHAnsi"/>
              </w:rPr>
              <w:t xml:space="preserve">Spanish </w:t>
            </w:r>
            <w:r>
              <w:rPr>
                <w:rFonts w:asciiTheme="minorHAnsi" w:hAnsiTheme="minorHAnsi" w:cstheme="minorHAnsi"/>
              </w:rPr>
              <w:t>curriculum builds upon the foundations</w:t>
            </w:r>
            <w:r w:rsidR="002A5227">
              <w:rPr>
                <w:rFonts w:asciiTheme="minorHAnsi" w:hAnsiTheme="minorHAnsi" w:cstheme="minorHAnsi"/>
              </w:rPr>
              <w:t xml:space="preserve"> of </w:t>
            </w:r>
            <w:r w:rsidR="004265DA">
              <w:rPr>
                <w:rFonts w:asciiTheme="minorHAnsi" w:hAnsiTheme="minorHAnsi" w:cstheme="minorHAnsi"/>
              </w:rPr>
              <w:t>Spanish</w:t>
            </w:r>
            <w:r w:rsidR="002A5227">
              <w:rPr>
                <w:rFonts w:asciiTheme="minorHAnsi" w:hAnsiTheme="minorHAnsi" w:cstheme="minorHAnsi"/>
              </w:rPr>
              <w:t xml:space="preserve"> learning laid at KS3.</w:t>
            </w:r>
            <w:r w:rsidR="00096181">
              <w:rPr>
                <w:rFonts w:asciiTheme="minorHAnsi" w:hAnsiTheme="minorHAnsi" w:cstheme="minorHAnsi"/>
              </w:rPr>
              <w:t xml:space="preserve"> Teaching focuses on developing students’ competence in the 4 language skills (listening, speaking, reading and writing)</w:t>
            </w:r>
            <w:r w:rsidR="005E6648">
              <w:rPr>
                <w:rFonts w:asciiTheme="minorHAnsi" w:hAnsiTheme="minorHAnsi" w:cstheme="minorHAnsi"/>
              </w:rPr>
              <w:t xml:space="preserve"> and provides appropriate preparation for</w:t>
            </w:r>
            <w:r w:rsidR="009B0622">
              <w:rPr>
                <w:rFonts w:asciiTheme="minorHAnsi" w:hAnsiTheme="minorHAnsi" w:cstheme="minorHAnsi"/>
              </w:rPr>
              <w:t xml:space="preserve"> further</w:t>
            </w:r>
            <w:r w:rsidR="005E6648">
              <w:rPr>
                <w:rFonts w:asciiTheme="minorHAnsi" w:hAnsiTheme="minorHAnsi" w:cstheme="minorHAnsi"/>
              </w:rPr>
              <w:t xml:space="preserve"> Spanish study at GCSE</w:t>
            </w:r>
            <w:r w:rsidR="00096181">
              <w:rPr>
                <w:rFonts w:asciiTheme="minorHAnsi" w:hAnsiTheme="minorHAnsi" w:cstheme="minorHAnsi"/>
              </w:rPr>
              <w:t xml:space="preserve">. </w:t>
            </w:r>
            <w:r w:rsidR="002A5227">
              <w:rPr>
                <w:rFonts w:asciiTheme="minorHAnsi" w:hAnsiTheme="minorHAnsi" w:cstheme="minorHAnsi"/>
              </w:rPr>
              <w:t>The content of the KS4 Spanish course is reflective of the AQA Spanish specification and it is carefully sequenced and progressive to enable students</w:t>
            </w:r>
            <w:r w:rsidR="004265DA">
              <w:rPr>
                <w:rFonts w:asciiTheme="minorHAnsi" w:hAnsiTheme="minorHAnsi" w:cstheme="minorHAnsi"/>
              </w:rPr>
              <w:t xml:space="preserve"> to develop their ability</w:t>
            </w:r>
            <w:r w:rsidR="002A5227">
              <w:rPr>
                <w:rFonts w:asciiTheme="minorHAnsi" w:hAnsiTheme="minorHAnsi" w:cstheme="minorHAnsi"/>
              </w:rPr>
              <w:t xml:space="preserve"> </w:t>
            </w:r>
            <w:r w:rsidR="004265DA">
              <w:rPr>
                <w:rFonts w:asciiTheme="minorHAnsi" w:hAnsiTheme="minorHAnsi" w:cstheme="minorHAnsi"/>
              </w:rPr>
              <w:t>to communicate confidently in speech and writing.</w:t>
            </w:r>
          </w:p>
          <w:p w14:paraId="7FBDEDF6" w14:textId="77777777" w:rsidR="00E008C1" w:rsidRDefault="00E008C1" w:rsidP="00C144C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</w:p>
          <w:p w14:paraId="345EFD04" w14:textId="77777777" w:rsidR="00E008C1" w:rsidRDefault="00E008C1" w:rsidP="00E008C1">
            <w:pPr>
              <w:spacing w:line="194" w:lineRule="exac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All lessons are individualised and appropriately differentiated to ensure that all students achieve highest standards. </w:t>
            </w:r>
          </w:p>
          <w:p w14:paraId="2D83C585" w14:textId="28E977C8" w:rsidR="00C7137B" w:rsidRDefault="004265DA" w:rsidP="00C144C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FBDD84A" w14:textId="3AD46840" w:rsidR="001F38C2" w:rsidRDefault="001F38C2" w:rsidP="00C144C9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the end of year 10 students should have a clear foundation</w:t>
            </w:r>
            <w:r w:rsidR="004265DA">
              <w:rPr>
                <w:rFonts w:asciiTheme="minorHAnsi" w:hAnsiTheme="minorHAnsi" w:cstheme="minorHAnsi"/>
              </w:rPr>
              <w:t xml:space="preserve"> of</w:t>
            </w:r>
            <w:r>
              <w:rPr>
                <w:rFonts w:asciiTheme="minorHAnsi" w:hAnsiTheme="minorHAnsi" w:cstheme="minorHAnsi"/>
              </w:rPr>
              <w:t xml:space="preserve"> all 4 assessment objectives (Listening, speaking, reading and writing). </w:t>
            </w:r>
          </w:p>
          <w:p w14:paraId="4F87E505" w14:textId="77777777" w:rsidR="001F38C2" w:rsidRDefault="001F38C2" w:rsidP="004265DA">
            <w:pPr>
              <w:spacing w:line="194" w:lineRule="exact"/>
              <w:rPr>
                <w:rFonts w:asciiTheme="minorHAnsi" w:hAnsiTheme="minorHAnsi" w:cstheme="minorHAnsi"/>
              </w:rPr>
            </w:pPr>
          </w:p>
        </w:tc>
      </w:tr>
      <w:tr w:rsidR="001F38C2" w14:paraId="08EB1292" w14:textId="77777777" w:rsidTr="00C144C9">
        <w:trPr>
          <w:trHeight w:val="410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1470C221" w14:textId="77777777" w:rsidR="001F38C2" w:rsidRDefault="001F38C2" w:rsidP="00C144C9">
            <w:pPr>
              <w:pStyle w:val="TableParagraph"/>
              <w:spacing w:before="130"/>
              <w:ind w:left="2304" w:right="22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Implementation</w:t>
            </w:r>
          </w:p>
        </w:tc>
        <w:tc>
          <w:tcPr>
            <w:tcW w:w="5298" w:type="dxa"/>
            <w:gridSpan w:val="2"/>
          </w:tcPr>
          <w:p w14:paraId="44D425FC" w14:textId="77777777" w:rsidR="001F38C2" w:rsidRDefault="001F38C2" w:rsidP="00C144C9">
            <w:pPr>
              <w:pStyle w:val="TableParagraph"/>
              <w:spacing w:before="72"/>
              <w:ind w:left="1168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September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December</w:t>
            </w:r>
          </w:p>
        </w:tc>
        <w:tc>
          <w:tcPr>
            <w:tcW w:w="5528" w:type="dxa"/>
            <w:gridSpan w:val="2"/>
          </w:tcPr>
          <w:p w14:paraId="19C1FEA7" w14:textId="77777777" w:rsidR="001F38C2" w:rsidRDefault="001F38C2" w:rsidP="00C144C9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January</w:t>
            </w:r>
            <w:r>
              <w:rPr>
                <w:rFonts w:ascii="Arial"/>
                <w:b/>
                <w:color w:val="007B7B"/>
                <w:spacing w:val="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2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March</w:t>
            </w:r>
          </w:p>
        </w:tc>
        <w:tc>
          <w:tcPr>
            <w:tcW w:w="4407" w:type="dxa"/>
            <w:gridSpan w:val="2"/>
          </w:tcPr>
          <w:p w14:paraId="425318CC" w14:textId="77777777" w:rsidR="001F38C2" w:rsidRDefault="001F38C2" w:rsidP="00C144C9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April - July</w:t>
            </w:r>
          </w:p>
        </w:tc>
      </w:tr>
      <w:tr w:rsidR="001F38C2" w14:paraId="58EEF1EF" w14:textId="77777777" w:rsidTr="00C144C9">
        <w:trPr>
          <w:trHeight w:val="4288"/>
        </w:trPr>
        <w:tc>
          <w:tcPr>
            <w:tcW w:w="538" w:type="dxa"/>
            <w:vMerge/>
            <w:textDirection w:val="btLr"/>
          </w:tcPr>
          <w:p w14:paraId="3D3410F4" w14:textId="77777777" w:rsidR="001F38C2" w:rsidRDefault="001F38C2" w:rsidP="00C144C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</w:tcPr>
          <w:p w14:paraId="117B3709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3EFB184E" w14:textId="77777777" w:rsidR="001F38C2" w:rsidRPr="00927561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1: Identity and Culture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41E03F7A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2F00EAD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1: Me, my family and friends: Relationships with family and friends / marriage &amp; partnership</w:t>
            </w:r>
          </w:p>
          <w:p w14:paraId="5E6FD724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9D672F" w14:textId="77777777" w:rsidR="001F38C2" w:rsidRPr="007E293E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2: Technology in everyday life: social media / mobile technology </w:t>
            </w:r>
          </w:p>
          <w:p w14:paraId="488C2727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F40914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0D2CDE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7F0A01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73AF9B88" w14:textId="77777777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AO1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Listening</w:t>
            </w:r>
          </w:p>
          <w:p w14:paraId="32EEA213" w14:textId="77777777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</w:p>
          <w:p w14:paraId="07CC7B83" w14:textId="77777777" w:rsidR="001F38C2" w:rsidRPr="001D1B9D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4AAB0471" w14:textId="77777777" w:rsidR="001F38C2" w:rsidRPr="001D1B9D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1DD63134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2A5CAD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D3228F3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859AC6C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3388347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7A10FEAD" w14:textId="77777777" w:rsidR="001F38C2" w:rsidRPr="00927561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1: Identity and Culture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7907226A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0282F" w14:textId="77777777" w:rsidR="001F38C2" w:rsidRPr="007E293E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Topic 3: Free-time activities: Music / Cinema &amp; TV / Food and eating out / sport </w:t>
            </w:r>
          </w:p>
          <w:p w14:paraId="63D2474C" w14:textId="77777777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6F72D7D" w14:textId="46F683D2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4: Customs and festivals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7A2BEF1E" w14:textId="2DF7C82C" w:rsidR="0017473D" w:rsidRDefault="0017473D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Spain and customs/ Festivals in Spain and Hispanic countries</w:t>
            </w:r>
          </w:p>
          <w:p w14:paraId="2658A519" w14:textId="7BEDD03A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5A29F8" w14:textId="3708F453" w:rsidR="00C7137B" w:rsidRDefault="00C7137B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91D6E9" w14:textId="77777777" w:rsidR="00C7137B" w:rsidRPr="00624377" w:rsidRDefault="00C7137B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C26548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09B453A6" w14:textId="77777777" w:rsidR="001F38C2" w:rsidRPr="00B75D01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AO1 – Listening</w:t>
            </w:r>
          </w:p>
          <w:p w14:paraId="65F9CEA2" w14:textId="77777777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Speaking</w:t>
            </w:r>
          </w:p>
          <w:p w14:paraId="3B791A0F" w14:textId="77777777" w:rsidR="001F38C2" w:rsidRPr="001D1B9D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2FE978EF" w14:textId="77777777" w:rsidR="001F38C2" w:rsidRPr="001D1B9D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2AD1273E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DB34C4" w14:textId="77777777" w:rsidR="001F38C2" w:rsidRPr="00624377" w:rsidRDefault="001F38C2" w:rsidP="00C144C9">
            <w:pPr>
              <w:pStyle w:val="TableParagraph"/>
              <w:spacing w:before="1"/>
              <w:ind w:left="0" w:right="327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5884025E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5B5BAEB5" w14:textId="039C85F7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2: Local, national, international and global areas of interest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26CC0523" w14:textId="77777777" w:rsidR="00C7137B" w:rsidRPr="00927561" w:rsidRDefault="00C7137B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44797C26" w14:textId="1FE231E1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1: Home, town, neighbourhood and region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3A04208" w14:textId="7FD3AA47" w:rsidR="0017473D" w:rsidRDefault="0017473D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Home/ Where I live</w:t>
            </w:r>
          </w:p>
          <w:p w14:paraId="674A386F" w14:textId="77777777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63DCA2" w14:textId="27D85FB8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2: Social Issues: charity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voluntary work / Healthy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unhealthy living </w:t>
            </w:r>
          </w:p>
          <w:p w14:paraId="21B8389D" w14:textId="2711584B" w:rsidR="001F38C2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74EFB0" w14:textId="241C26DB" w:rsidR="00C7137B" w:rsidRDefault="00C7137B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0B52F5" w14:textId="77777777" w:rsidR="00C7137B" w:rsidRPr="007E293E" w:rsidRDefault="00C7137B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60AE3C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090D6A" w14:textId="77777777" w:rsidR="001F38C2" w:rsidRPr="00624377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39545847" w14:textId="77777777" w:rsidR="001F38C2" w:rsidRPr="00B75D01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AO1 – Listening</w:t>
            </w:r>
          </w:p>
          <w:p w14:paraId="73CB5B2E" w14:textId="77777777" w:rsidR="001F38C2" w:rsidRPr="00BB7948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AO2 – Speaking</w:t>
            </w:r>
          </w:p>
          <w:p w14:paraId="5B75E72D" w14:textId="77777777" w:rsidR="001F38C2" w:rsidRPr="001D1B9D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55327FBD" w14:textId="77777777" w:rsidR="001F38C2" w:rsidRPr="001D1B9D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0D5B6010" w14:textId="77777777" w:rsidR="001F38C2" w:rsidRPr="00093E30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F730E7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3E1C14B7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2: Local, national, international and global areas of interest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598DA2D7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ACE9C6" w14:textId="3230CC7D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7137B">
              <w:rPr>
                <w:rFonts w:asciiTheme="minorHAnsi" w:hAnsiTheme="minorHAnsi" w:cstheme="minorHAnsi"/>
                <w:sz w:val="20"/>
                <w:szCs w:val="20"/>
              </w:rPr>
              <w:t xml:space="preserve">• Topic 3: Global issues: 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7137B">
              <w:rPr>
                <w:rFonts w:asciiTheme="minorHAnsi" w:hAnsiTheme="minorHAnsi" w:cstheme="minorHAnsi"/>
                <w:sz w:val="20"/>
                <w:szCs w:val="20"/>
              </w:rPr>
              <w:t>nvironment / poverty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Pr="00C7137B">
              <w:rPr>
                <w:rFonts w:asciiTheme="minorHAnsi" w:hAnsiTheme="minorHAnsi" w:cstheme="minorHAnsi"/>
                <w:sz w:val="20"/>
                <w:szCs w:val="20"/>
              </w:rPr>
              <w:t>homelessness</w:t>
            </w:r>
          </w:p>
          <w:p w14:paraId="69911856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5F790D" w14:textId="481B3B9D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4: Travel and tourism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57CAC4EF" w14:textId="609B084E" w:rsidR="0017473D" w:rsidRPr="007E293E" w:rsidRDefault="0017473D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Holidays and travel/ Regions of Spain </w:t>
            </w:r>
          </w:p>
          <w:p w14:paraId="76EE1738" w14:textId="77777777" w:rsidR="001F38C2" w:rsidRDefault="001F38C2" w:rsidP="00C144C9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  <w:p w14:paraId="6D3A6BBE" w14:textId="77777777" w:rsidR="00C7137B" w:rsidRDefault="00C7137B" w:rsidP="00C144C9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  <w:p w14:paraId="58083144" w14:textId="77777777" w:rsidR="00C7137B" w:rsidRDefault="00C7137B" w:rsidP="00C144C9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  <w:p w14:paraId="173BC54F" w14:textId="77777777" w:rsidR="00C7137B" w:rsidRDefault="00C7137B" w:rsidP="00C144C9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  <w:p w14:paraId="734B02D3" w14:textId="77777777" w:rsidR="00C7137B" w:rsidRDefault="00C7137B" w:rsidP="00C144C9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  <w:p w14:paraId="2510DFC0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13648D50" w14:textId="77777777" w:rsidR="00C7137B" w:rsidRPr="00B75D01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AO1 – Listening</w:t>
            </w:r>
          </w:p>
          <w:p w14:paraId="138DF142" w14:textId="77777777" w:rsidR="00C7137B" w:rsidRPr="00BB7948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AO2 – Speaking</w:t>
            </w:r>
          </w:p>
          <w:p w14:paraId="476D377C" w14:textId="77777777" w:rsidR="00C7137B" w:rsidRPr="001D1B9D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43F666F7" w14:textId="77777777" w:rsidR="00C7137B" w:rsidRPr="001D1B9D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7EDC1FCB" w14:textId="1FB8485F" w:rsidR="00C7137B" w:rsidRPr="00624377" w:rsidRDefault="00C7137B" w:rsidP="00C144C9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126" w:type="dxa"/>
            <w:vMerge w:val="restart"/>
          </w:tcPr>
          <w:p w14:paraId="03CD0FB0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6CDF8F07" w14:textId="77777777" w:rsidR="00C7137B" w:rsidRPr="00927561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3: Current and future study and employment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577EF34E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C48E99A" w14:textId="5A969239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1: My studies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0047C">
              <w:rPr>
                <w:rFonts w:asciiTheme="minorHAnsi" w:hAnsiTheme="minorHAnsi" w:cstheme="minorHAnsi"/>
                <w:sz w:val="20"/>
                <w:szCs w:val="20"/>
              </w:rPr>
              <w:t>School and subjects</w:t>
            </w:r>
          </w:p>
          <w:p w14:paraId="543692DC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ACDA90" w14:textId="151E74F8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2: Life at school</w:t>
            </w:r>
            <w:r w:rsidR="0017473D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college</w:t>
            </w:r>
          </w:p>
          <w:p w14:paraId="1E499B95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EC6E1B" w14:textId="73F0035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BD0560" w14:textId="43842CBC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B5019D" w14:textId="7B0BAB4A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B72C20" w14:textId="77777777" w:rsidR="00C7137B" w:rsidRPr="007E293E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48CBC2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BDDC65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6FBCDF89" w14:textId="77777777" w:rsidR="00C7137B" w:rsidRPr="00B75D01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AO1 – Listening</w:t>
            </w:r>
          </w:p>
          <w:p w14:paraId="3BD88A99" w14:textId="77777777" w:rsidR="00C7137B" w:rsidRPr="00BB7948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AO2 – Speaking</w:t>
            </w:r>
          </w:p>
          <w:p w14:paraId="7D49E4EC" w14:textId="77777777" w:rsidR="00C7137B" w:rsidRPr="001D1B9D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16E02DAB" w14:textId="77777777" w:rsidR="00C7137B" w:rsidRPr="001D1B9D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2DE22434" w14:textId="4F8473E4" w:rsidR="001F38C2" w:rsidRPr="00093E30" w:rsidRDefault="001F38C2" w:rsidP="00C144C9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14:paraId="5C6180DB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23994BEB" w14:textId="77777777" w:rsidR="00C7137B" w:rsidRPr="00927561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3: Current and future study and employment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(Paper 1-4)</w:t>
            </w:r>
          </w:p>
          <w:p w14:paraId="70B977D4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36E83E" w14:textId="3CE522F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3: Education post-16</w:t>
            </w:r>
            <w:r w:rsidR="00674E6A">
              <w:rPr>
                <w:rFonts w:asciiTheme="minorHAnsi" w:hAnsiTheme="minorHAnsi" w:cstheme="minorHAnsi"/>
                <w:sz w:val="20"/>
                <w:szCs w:val="20"/>
              </w:rPr>
              <w:t>: University or work?</w:t>
            </w:r>
          </w:p>
          <w:p w14:paraId="53785F79" w14:textId="7777777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F393B3" w14:textId="39943EC8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Topic 4: Jobs, career choices and ambitions</w:t>
            </w:r>
            <w:r w:rsidR="00674E6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7395EF1" w14:textId="7C2B845B" w:rsidR="00674E6A" w:rsidRDefault="00674E6A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Choice of career</w:t>
            </w:r>
          </w:p>
          <w:p w14:paraId="5A7625B3" w14:textId="77777777" w:rsidR="00C7137B" w:rsidRPr="007E293E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11E8B" w14:textId="53246D03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6FE6E" w14:textId="6B0BA2D7" w:rsidR="00C7137B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30CFD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4D7E28" w14:textId="77777777" w:rsidR="00C7137B" w:rsidRPr="00624377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32ED9F32" w14:textId="77777777" w:rsidR="00C7137B" w:rsidRPr="00B75D01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Pr="00B75D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AO1 – Listening</w:t>
            </w:r>
          </w:p>
          <w:p w14:paraId="61011E39" w14:textId="77777777" w:rsidR="00C7137B" w:rsidRPr="00BB7948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79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AO2 – Speaking</w:t>
            </w:r>
          </w:p>
          <w:p w14:paraId="02F1617A" w14:textId="77777777" w:rsidR="00C7137B" w:rsidRPr="001D1B9D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AO3 – Reading</w:t>
            </w:r>
          </w:p>
          <w:p w14:paraId="013546F6" w14:textId="77777777" w:rsidR="00C7137B" w:rsidRPr="001D1B9D" w:rsidRDefault="00C7137B" w:rsidP="00C7137B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1B9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• AO4 – Writing</w:t>
            </w:r>
          </w:p>
          <w:p w14:paraId="5793B761" w14:textId="333D3E1C" w:rsidR="001F38C2" w:rsidRPr="00624377" w:rsidRDefault="001F38C2" w:rsidP="00C144C9">
            <w:pPr>
              <w:pStyle w:val="TableParagraph"/>
              <w:ind w:left="142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</w:tc>
      </w:tr>
      <w:tr w:rsidR="001F38C2" w14:paraId="40C32F6D" w14:textId="77777777" w:rsidTr="00C144C9">
        <w:trPr>
          <w:trHeight w:val="358"/>
        </w:trPr>
        <w:tc>
          <w:tcPr>
            <w:tcW w:w="538" w:type="dxa"/>
            <w:vMerge/>
            <w:textDirection w:val="btLr"/>
          </w:tcPr>
          <w:p w14:paraId="61C434AA" w14:textId="77777777" w:rsidR="001F38C2" w:rsidRDefault="001F38C2" w:rsidP="00C144C9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3F254B9A" w14:textId="77777777" w:rsidR="001F38C2" w:rsidRDefault="001F38C2" w:rsidP="00C144C9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4D237BA" w14:textId="77777777" w:rsidR="001F38C2" w:rsidRDefault="001F38C2" w:rsidP="00C144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FB099CF" w14:textId="77777777" w:rsidR="001F38C2" w:rsidRDefault="001F38C2" w:rsidP="00C144C9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5097FBB" w14:textId="77777777" w:rsidR="001F38C2" w:rsidRDefault="001F38C2" w:rsidP="00C144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</w:tcPr>
          <w:p w14:paraId="2875E122" w14:textId="77777777" w:rsidR="001F38C2" w:rsidRDefault="001F38C2" w:rsidP="00C144C9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4D4A91AB" w14:textId="77777777" w:rsidR="001F38C2" w:rsidRDefault="001F38C2" w:rsidP="00C144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F38C2" w14:paraId="08FB372E" w14:textId="77777777" w:rsidTr="00C144C9">
        <w:trPr>
          <w:trHeight w:val="361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1AFF4E6E" w14:textId="77777777" w:rsidR="001F38C2" w:rsidRDefault="001F38C2" w:rsidP="00C144C9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Impact</w:t>
            </w:r>
          </w:p>
        </w:tc>
        <w:tc>
          <w:tcPr>
            <w:tcW w:w="5298" w:type="dxa"/>
            <w:gridSpan w:val="2"/>
          </w:tcPr>
          <w:p w14:paraId="4F707FAB" w14:textId="77777777" w:rsidR="001F38C2" w:rsidRDefault="001F38C2" w:rsidP="00C144C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AP1</w:t>
            </w:r>
          </w:p>
        </w:tc>
        <w:tc>
          <w:tcPr>
            <w:tcW w:w="5528" w:type="dxa"/>
            <w:gridSpan w:val="2"/>
          </w:tcPr>
          <w:p w14:paraId="29DE9552" w14:textId="77777777" w:rsidR="001F38C2" w:rsidRDefault="001F38C2" w:rsidP="00C144C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AP2</w:t>
            </w:r>
          </w:p>
        </w:tc>
        <w:tc>
          <w:tcPr>
            <w:tcW w:w="4407" w:type="dxa"/>
            <w:gridSpan w:val="2"/>
          </w:tcPr>
          <w:p w14:paraId="5B13283B" w14:textId="77777777" w:rsidR="001F38C2" w:rsidRDefault="001F38C2" w:rsidP="00C144C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AP3</w:t>
            </w:r>
          </w:p>
        </w:tc>
      </w:tr>
      <w:tr w:rsidR="001F38C2" w14:paraId="7656D4BD" w14:textId="77777777" w:rsidTr="00C144C9">
        <w:trPr>
          <w:trHeight w:val="1771"/>
        </w:trPr>
        <w:tc>
          <w:tcPr>
            <w:tcW w:w="538" w:type="dxa"/>
            <w:vMerge/>
            <w:shd w:val="clear" w:color="auto" w:fill="79133E"/>
            <w:textDirection w:val="btLr"/>
          </w:tcPr>
          <w:p w14:paraId="288087B9" w14:textId="77777777" w:rsidR="001F38C2" w:rsidRDefault="001F38C2" w:rsidP="00C144C9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</w:p>
        </w:tc>
        <w:tc>
          <w:tcPr>
            <w:tcW w:w="5298" w:type="dxa"/>
            <w:gridSpan w:val="2"/>
          </w:tcPr>
          <w:p w14:paraId="65E39DE5" w14:textId="77777777" w:rsidR="001F38C2" w:rsidRDefault="001F38C2" w:rsidP="00C144C9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682D444A" w14:textId="77777777" w:rsidR="001F38C2" w:rsidRDefault="001F38C2" w:rsidP="00C144C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Winter Mock Exams</w:t>
            </w:r>
          </w:p>
          <w:p w14:paraId="7464116D" w14:textId="001C064E" w:rsidR="001F38C2" w:rsidRDefault="001F38C2" w:rsidP="00C144C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3: Readin</w:t>
            </w:r>
            <w:r w:rsidR="00680DAB">
              <w:rPr>
                <w:b/>
                <w:bCs/>
                <w:i/>
                <w:iCs/>
                <w:sz w:val="18"/>
                <w:szCs w:val="18"/>
              </w:rPr>
              <w:t>g mock paper</w:t>
            </w:r>
          </w:p>
          <w:p w14:paraId="3DFD7BC2" w14:textId="1F328376" w:rsidR="001F38C2" w:rsidRDefault="001F38C2" w:rsidP="00C144C9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4: Writing</w:t>
            </w:r>
            <w:r w:rsidR="00680DAB">
              <w:rPr>
                <w:b/>
                <w:bCs/>
                <w:i/>
                <w:iCs/>
                <w:sz w:val="18"/>
                <w:szCs w:val="18"/>
              </w:rPr>
              <w:t xml:space="preserve"> mock paper</w:t>
            </w:r>
          </w:p>
          <w:p w14:paraId="40819060" w14:textId="77777777" w:rsidR="001F38C2" w:rsidRDefault="001F38C2" w:rsidP="00C144C9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8C96FB" w14:textId="77777777" w:rsidR="001F38C2" w:rsidRDefault="001F38C2" w:rsidP="00C144C9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88E86F" w14:textId="77777777" w:rsidR="001F38C2" w:rsidRDefault="001F38C2" w:rsidP="00C144C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4849CE94" w14:textId="77777777" w:rsidR="001F38C2" w:rsidRDefault="001F38C2" w:rsidP="00C144C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Spring 1 Assessment</w:t>
            </w:r>
          </w:p>
          <w:p w14:paraId="5286DEF4" w14:textId="77777777" w:rsidR="001F38C2" w:rsidRDefault="001F38C2" w:rsidP="00C144C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iCs/>
                <w:color w:val="01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Mini Assessment: </w:t>
            </w:r>
          </w:p>
          <w:p w14:paraId="1B2412A8" w14:textId="77777777" w:rsidR="001F38C2" w:rsidRDefault="001F38C2" w:rsidP="00C144C9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1: Listening</w:t>
            </w:r>
          </w:p>
          <w:p w14:paraId="51EC6C9B" w14:textId="77777777" w:rsidR="001F38C2" w:rsidRDefault="001F38C2" w:rsidP="00C144C9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3: Reading</w:t>
            </w:r>
          </w:p>
          <w:p w14:paraId="760F4B46" w14:textId="77777777" w:rsidR="001F38C2" w:rsidRDefault="001F38C2" w:rsidP="00C144C9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4: Writing</w:t>
            </w:r>
          </w:p>
          <w:p w14:paraId="43C7BBE2" w14:textId="77777777" w:rsidR="001F38C2" w:rsidRDefault="001F38C2" w:rsidP="00C144C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07FA5E4" w14:textId="77777777" w:rsidR="001F38C2" w:rsidRDefault="001F38C2" w:rsidP="00C144C9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5C00A39E" w14:textId="77777777" w:rsidR="001F38C2" w:rsidRDefault="001F38C2" w:rsidP="00F43B81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407" w:type="dxa"/>
            <w:gridSpan w:val="2"/>
          </w:tcPr>
          <w:p w14:paraId="1F91C941" w14:textId="77777777" w:rsidR="001F38C2" w:rsidRDefault="001F38C2" w:rsidP="00C144C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276AEC6E" w14:textId="7DBA588E" w:rsidR="00F43B81" w:rsidRDefault="00F43B81" w:rsidP="00F43B81">
            <w:pPr>
              <w:pStyle w:val="TableParagraph"/>
              <w:spacing w:line="215" w:lineRule="exact"/>
              <w:ind w:left="0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 xml:space="preserve"> Summer Assessment</w:t>
            </w:r>
          </w:p>
          <w:p w14:paraId="58968E19" w14:textId="77777777" w:rsidR="00F43B81" w:rsidRDefault="00F43B81" w:rsidP="00F43B81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1: Listening</w:t>
            </w:r>
          </w:p>
          <w:p w14:paraId="22D63644" w14:textId="77777777" w:rsidR="00F43B81" w:rsidRDefault="00F43B81" w:rsidP="00F43B81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2: Speaking</w:t>
            </w:r>
          </w:p>
          <w:p w14:paraId="0EEC98BC" w14:textId="77777777" w:rsidR="00F43B81" w:rsidRDefault="00F43B81" w:rsidP="00F43B81">
            <w:pPr>
              <w:pStyle w:val="TableParagraph"/>
              <w:spacing w:line="215" w:lineRule="exact"/>
              <w:ind w:left="10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3: Reading</w:t>
            </w:r>
          </w:p>
          <w:p w14:paraId="25AC2975" w14:textId="77777777" w:rsidR="00F43B81" w:rsidRDefault="00F43B81" w:rsidP="00F43B81">
            <w:pPr>
              <w:pStyle w:val="TableParagraph"/>
              <w:spacing w:line="215" w:lineRule="exact"/>
              <w:ind w:left="10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Paper 4: Writing</w:t>
            </w:r>
          </w:p>
          <w:p w14:paraId="2BA7C1B3" w14:textId="77777777" w:rsidR="001F38C2" w:rsidRDefault="001F38C2" w:rsidP="00C144C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5DBEA899" w14:textId="77777777" w:rsidR="001F38C2" w:rsidRDefault="001F38C2" w:rsidP="00C144C9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</w:tr>
    </w:tbl>
    <w:p w14:paraId="7C2C4AB9" w14:textId="77777777" w:rsidR="001F38C2" w:rsidRDefault="001F38C2" w:rsidP="001F38C2"/>
    <w:p w14:paraId="15BBE8D9" w14:textId="77777777" w:rsidR="008E17DD" w:rsidRDefault="004A057C"/>
    <w:sectPr w:rsidR="008E17DD" w:rsidSect="006243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10" w:orient="landscape"/>
      <w:pgMar w:top="720" w:right="5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6EDA" w14:textId="77777777" w:rsidR="004A12CB" w:rsidRDefault="004A12CB">
      <w:r>
        <w:separator/>
      </w:r>
    </w:p>
  </w:endnote>
  <w:endnote w:type="continuationSeparator" w:id="0">
    <w:p w14:paraId="4BCC7CA8" w14:textId="77777777" w:rsidR="004A12CB" w:rsidRDefault="004A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3AD1" w14:textId="77777777" w:rsidR="004A057C" w:rsidRDefault="004A0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D1ED5" w14:textId="77777777" w:rsidR="00F05A49" w:rsidRDefault="00F43B81">
    <w:pPr>
      <w:pStyle w:val="Footer"/>
    </w:pPr>
    <w:r>
      <w:t>07/10/2021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4209" w14:textId="77777777" w:rsidR="004A057C" w:rsidRDefault="004A0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FE15" w14:textId="77777777" w:rsidR="004A12CB" w:rsidRDefault="004A12CB">
      <w:r>
        <w:separator/>
      </w:r>
    </w:p>
  </w:footnote>
  <w:footnote w:type="continuationSeparator" w:id="0">
    <w:p w14:paraId="6C917387" w14:textId="77777777" w:rsidR="004A12CB" w:rsidRDefault="004A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36B4" w14:textId="77777777" w:rsidR="004A057C" w:rsidRDefault="004A0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82FC" w14:textId="49345534" w:rsidR="00F05A49" w:rsidRDefault="00F43B81">
    <w:pPr>
      <w:pStyle w:val="Heading1"/>
      <w:rPr>
        <w:b/>
        <w:bCs/>
      </w:rPr>
    </w:pPr>
    <w:r>
      <w:rPr>
        <w:rFonts w:ascii="Arial" w:hAnsi="Arial" w:cs="Arial"/>
        <w:noProof/>
        <w:color w:val="00757E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29F7C55" wp14:editId="7B719514">
          <wp:simplePos x="0" y="0"/>
          <wp:positionH relativeFrom="column">
            <wp:posOffset>9304286</wp:posOffset>
          </wp:positionH>
          <wp:positionV relativeFrom="paragraph">
            <wp:posOffset>-436466</wp:posOffset>
          </wp:positionV>
          <wp:extent cx="977265" cy="722630"/>
          <wp:effectExtent l="0" t="0" r="0" b="1270"/>
          <wp:wrapTight wrapText="bothSides">
            <wp:wrapPolygon edited="0">
              <wp:start x="0" y="0"/>
              <wp:lineTo x="0" y="5125"/>
              <wp:lineTo x="2526" y="9111"/>
              <wp:lineTo x="2526" y="17083"/>
              <wp:lineTo x="0" y="19360"/>
              <wp:lineTo x="0" y="21069"/>
              <wp:lineTo x="21053" y="21069"/>
              <wp:lineTo x="21053" y="14805"/>
              <wp:lineTo x="17684" y="0"/>
              <wp:lineTo x="0" y="0"/>
            </wp:wrapPolygon>
          </wp:wrapTight>
          <wp:docPr id="2" name="Picture 2" descr="A picture containing text, screen, clipar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, clipart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2</w:t>
    </w:r>
    <w:r w:rsidR="004A057C">
      <w:rPr>
        <w:b/>
        <w:bCs/>
      </w:rPr>
      <w:t>3</w:t>
    </w:r>
    <w:r>
      <w:rPr>
        <w:b/>
        <w:bCs/>
      </w:rPr>
      <w:t>/2</w:t>
    </w:r>
    <w:r w:rsidR="004A057C">
      <w:rPr>
        <w:b/>
        <w:bCs/>
      </w:rPr>
      <w:t>4</w:t>
    </w:r>
    <w:r>
      <w:rPr>
        <w:b/>
        <w:bCs/>
      </w:rPr>
      <w:t>: KS4 Curriculum and Assessment Map</w:t>
    </w:r>
    <w:r>
      <w:rPr>
        <w:rFonts w:ascii="Arial" w:hAnsi="Arial" w:cs="Arial"/>
        <w:color w:val="00757E"/>
        <w:sz w:val="20"/>
        <w:szCs w:val="20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A488" w14:textId="77777777" w:rsidR="004A057C" w:rsidRDefault="004A05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C2"/>
    <w:rsid w:val="00096181"/>
    <w:rsid w:val="00157129"/>
    <w:rsid w:val="0017473D"/>
    <w:rsid w:val="001F38C2"/>
    <w:rsid w:val="0020047C"/>
    <w:rsid w:val="002A5227"/>
    <w:rsid w:val="002D2917"/>
    <w:rsid w:val="004265DA"/>
    <w:rsid w:val="004A057C"/>
    <w:rsid w:val="004A12CB"/>
    <w:rsid w:val="005D4A71"/>
    <w:rsid w:val="005E6648"/>
    <w:rsid w:val="00601BDE"/>
    <w:rsid w:val="00674E6A"/>
    <w:rsid w:val="00680DAB"/>
    <w:rsid w:val="007876CF"/>
    <w:rsid w:val="008315BA"/>
    <w:rsid w:val="00921D5D"/>
    <w:rsid w:val="009B0622"/>
    <w:rsid w:val="00AC2D7A"/>
    <w:rsid w:val="00C7137B"/>
    <w:rsid w:val="00D0373B"/>
    <w:rsid w:val="00E008C1"/>
    <w:rsid w:val="00E46ACF"/>
    <w:rsid w:val="00ED6D1F"/>
    <w:rsid w:val="00F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4363"/>
  <w15:chartTrackingRefBased/>
  <w15:docId w15:val="{8F4F1112-44C1-476B-8D7F-18307E0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8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8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1F38C2"/>
    <w:pPr>
      <w:ind w:left="579"/>
    </w:pPr>
  </w:style>
  <w:style w:type="paragraph" w:styleId="Footer">
    <w:name w:val="footer"/>
    <w:basedOn w:val="Normal"/>
    <w:link w:val="FooterChar"/>
    <w:uiPriority w:val="99"/>
    <w:unhideWhenUsed/>
    <w:rsid w:val="001F3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8C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0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5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B4E.E6C1C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CC5997E091145B3A80D5E3EE6E7AE" ma:contentTypeVersion="12" ma:contentTypeDescription="Create a new document." ma:contentTypeScope="" ma:versionID="cedefde1a6ef0a9eeba5bbeae6f7fb5f">
  <xsd:schema xmlns:xsd="http://www.w3.org/2001/XMLSchema" xmlns:xs="http://www.w3.org/2001/XMLSchema" xmlns:p="http://schemas.microsoft.com/office/2006/metadata/properties" xmlns:ns2="d3e07e05-5c11-4eed-a285-4c9cf94806a1" xmlns:ns3="a24f11dc-7e8e-4237-820d-ef3cbb44df61" targetNamespace="http://schemas.microsoft.com/office/2006/metadata/properties" ma:root="true" ma:fieldsID="8808a578930ad1860be98b752edc29e4" ns2:_="" ns3:_="">
    <xsd:import namespace="d3e07e05-5c11-4eed-a285-4c9cf94806a1"/>
    <xsd:import namespace="a24f11dc-7e8e-4237-820d-ef3cbb44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7e05-5c11-4eed-a285-4c9cf9480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11dc-7e8e-4237-820d-ef3cbb44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76360-7FA5-4405-B4F2-EE1940064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07e05-5c11-4eed-a285-4c9cf94806a1"/>
    <ds:schemaRef ds:uri="a24f11dc-7e8e-4237-820d-ef3cbb44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F2E99-A445-4257-8346-161968FFB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0CD1C-C83A-4775-AB80-799019DA29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A.Nika</dc:creator>
  <cp:keywords/>
  <dc:description/>
  <cp:lastModifiedBy>S.Laurito</cp:lastModifiedBy>
  <cp:revision>2</cp:revision>
  <dcterms:created xsi:type="dcterms:W3CDTF">2023-07-10T12:12:00Z</dcterms:created>
  <dcterms:modified xsi:type="dcterms:W3CDTF">2023-07-10T12:12:00Z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0x010100E5CCC5997E091145B3A80D5E3EE6E7AE</vt:lpwstr>
  </property>
</Properties>
</file>